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A6378" w14:textId="77777777" w:rsidR="002D5BF9" w:rsidRPr="00A77802" w:rsidRDefault="002D5BF9" w:rsidP="002D5BF9">
      <w:pPr>
        <w:pStyle w:val="HeadingcentredAgency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bookmarkStart w:id="0" w:name="_Toc464653161"/>
      <w:bookmarkStart w:id="1" w:name="_Toc468365851"/>
      <w:bookmarkStart w:id="2" w:name="_Toc478546146"/>
      <w:r w:rsidRPr="00A77802">
        <w:rPr>
          <w:rFonts w:ascii="Times New Roman" w:hAnsi="Times New Roman" w:cs="Times New Roman"/>
          <w:sz w:val="28"/>
          <w:szCs w:val="28"/>
          <w:lang w:val="pl-PL"/>
        </w:rPr>
        <w:t xml:space="preserve">Część VI: </w:t>
      </w:r>
      <w:bookmarkEnd w:id="0"/>
      <w:bookmarkEnd w:id="1"/>
      <w:bookmarkEnd w:id="2"/>
      <w:r w:rsidRPr="00A77802">
        <w:rPr>
          <w:rFonts w:ascii="Times New Roman" w:hAnsi="Times New Roman" w:cs="Times New Roman"/>
          <w:sz w:val="28"/>
          <w:szCs w:val="28"/>
          <w:lang w:val="pl-PL"/>
        </w:rPr>
        <w:t>Streszczeni</w:t>
      </w:r>
      <w:r w:rsidR="00A77802" w:rsidRPr="00A77802">
        <w:rPr>
          <w:rFonts w:ascii="Times New Roman" w:hAnsi="Times New Roman" w:cs="Times New Roman"/>
          <w:sz w:val="28"/>
          <w:szCs w:val="28"/>
          <w:lang w:val="pl-PL"/>
        </w:rPr>
        <w:t>e planu zarządzania ryzykiem</w:t>
      </w:r>
    </w:p>
    <w:p w14:paraId="7896C46A" w14:textId="73122E83" w:rsidR="002D5BF9" w:rsidRPr="00A77802" w:rsidRDefault="002D5BF9" w:rsidP="002D5BF9">
      <w:pPr>
        <w:jc w:val="both"/>
        <w:outlineLvl w:val="0"/>
        <w:rPr>
          <w:rFonts w:ascii="Times New Roman" w:hAnsi="Times New Roman" w:cs="Times New Roman"/>
          <w:sz w:val="24"/>
          <w:szCs w:val="24"/>
          <w:lang w:val="pl-PL"/>
        </w:rPr>
      </w:pPr>
      <w:bookmarkStart w:id="3" w:name="_Toc332296643"/>
      <w:bookmarkStart w:id="4" w:name="_Toc332297430"/>
      <w:bookmarkStart w:id="5" w:name="_Toc332298251"/>
      <w:bookmarkStart w:id="6" w:name="_Toc332298727"/>
      <w:bookmarkStart w:id="7" w:name="_Toc332299012"/>
      <w:bookmarkStart w:id="8" w:name="_Toc332299291"/>
      <w:bookmarkStart w:id="9" w:name="_Toc332299572"/>
      <w:bookmarkStart w:id="10" w:name="_Toc332299851"/>
      <w:bookmarkStart w:id="11" w:name="_Toc332296651"/>
      <w:bookmarkStart w:id="12" w:name="_Toc332297438"/>
      <w:bookmarkStart w:id="13" w:name="_Toc332298259"/>
      <w:bookmarkStart w:id="14" w:name="_Toc332298735"/>
      <w:bookmarkStart w:id="15" w:name="_Toc332299020"/>
      <w:bookmarkStart w:id="16" w:name="_Toc332299299"/>
      <w:bookmarkStart w:id="17" w:name="_Toc332299580"/>
      <w:bookmarkStart w:id="18" w:name="_Toc332299859"/>
      <w:bookmarkStart w:id="19" w:name="_Toc332298319"/>
      <w:bookmarkStart w:id="20" w:name="_Toc332298795"/>
      <w:bookmarkStart w:id="21" w:name="_Toc332299080"/>
      <w:bookmarkStart w:id="22" w:name="_Toc332299359"/>
      <w:bookmarkStart w:id="23" w:name="_Toc332299640"/>
      <w:bookmarkStart w:id="24" w:name="_Toc332299919"/>
      <w:bookmarkStart w:id="25" w:name="_Toc332298326"/>
      <w:bookmarkStart w:id="26" w:name="_Toc332298802"/>
      <w:bookmarkStart w:id="27" w:name="_Toc332299087"/>
      <w:bookmarkStart w:id="28" w:name="_Toc332299366"/>
      <w:bookmarkStart w:id="29" w:name="_Toc332299647"/>
      <w:bookmarkStart w:id="30" w:name="_Toc332299926"/>
      <w:bookmarkStart w:id="31" w:name="_Toc332298334"/>
      <w:bookmarkStart w:id="32" w:name="_Toc332298810"/>
      <w:bookmarkStart w:id="33" w:name="_Toc332299095"/>
      <w:bookmarkStart w:id="34" w:name="_Toc332299374"/>
      <w:bookmarkStart w:id="35" w:name="_Toc332299655"/>
      <w:bookmarkStart w:id="36" w:name="_Toc332299934"/>
      <w:bookmarkStart w:id="37" w:name="_Toc332298335"/>
      <w:bookmarkStart w:id="38" w:name="_Toc332298811"/>
      <w:bookmarkStart w:id="39" w:name="_Toc332299096"/>
      <w:bookmarkStart w:id="40" w:name="_Toc332299375"/>
      <w:bookmarkStart w:id="41" w:name="_Toc332299656"/>
      <w:bookmarkStart w:id="42" w:name="_Toc332299935"/>
      <w:bookmarkStart w:id="43" w:name="_Toc332298336"/>
      <w:bookmarkStart w:id="44" w:name="_Toc332298812"/>
      <w:bookmarkStart w:id="45" w:name="_Toc332299097"/>
      <w:bookmarkStart w:id="46" w:name="_Toc332299376"/>
      <w:bookmarkStart w:id="47" w:name="_Toc332299657"/>
      <w:bookmarkStart w:id="48" w:name="_Toc332299936"/>
      <w:bookmarkStart w:id="49" w:name="_Toc332298337"/>
      <w:bookmarkStart w:id="50" w:name="_Toc332298813"/>
      <w:bookmarkStart w:id="51" w:name="_Toc332299098"/>
      <w:bookmarkStart w:id="52" w:name="_Toc332299377"/>
      <w:bookmarkStart w:id="53" w:name="_Toc332299658"/>
      <w:bookmarkStart w:id="54" w:name="_Toc332299937"/>
      <w:bookmarkStart w:id="55" w:name="_Toc332298339"/>
      <w:bookmarkStart w:id="56" w:name="_Toc332298815"/>
      <w:bookmarkStart w:id="57" w:name="_Toc332299100"/>
      <w:bookmarkStart w:id="58" w:name="_Toc332299379"/>
      <w:bookmarkStart w:id="59" w:name="_Toc332299660"/>
      <w:bookmarkStart w:id="60" w:name="_Toc332299939"/>
      <w:bookmarkStart w:id="61" w:name="_Toc332298347"/>
      <w:bookmarkStart w:id="62" w:name="_Toc332298823"/>
      <w:bookmarkStart w:id="63" w:name="_Toc332299108"/>
      <w:bookmarkStart w:id="64" w:name="_Toc332299387"/>
      <w:bookmarkStart w:id="65" w:name="_Toc332299668"/>
      <w:bookmarkStart w:id="66" w:name="_Toc332299947"/>
      <w:bookmarkStart w:id="67" w:name="_Toc332298352"/>
      <w:bookmarkStart w:id="68" w:name="_Toc332298828"/>
      <w:bookmarkStart w:id="69" w:name="_Toc332299113"/>
      <w:bookmarkStart w:id="70" w:name="_Toc332299392"/>
      <w:bookmarkStart w:id="71" w:name="_Toc332299673"/>
      <w:bookmarkStart w:id="72" w:name="_Toc332299952"/>
      <w:bookmarkStart w:id="73" w:name="_Toc332298353"/>
      <w:bookmarkStart w:id="74" w:name="_Toc332298829"/>
      <w:bookmarkStart w:id="75" w:name="_Toc332299114"/>
      <w:bookmarkStart w:id="76" w:name="_Toc332299393"/>
      <w:bookmarkStart w:id="77" w:name="_Toc332299674"/>
      <w:bookmarkStart w:id="78" w:name="_Toc332299953"/>
      <w:bookmarkStart w:id="79" w:name="_Toc332298354"/>
      <w:bookmarkStart w:id="80" w:name="_Toc332298830"/>
      <w:bookmarkStart w:id="81" w:name="_Toc332299115"/>
      <w:bookmarkStart w:id="82" w:name="_Toc332299394"/>
      <w:bookmarkStart w:id="83" w:name="_Toc332299675"/>
      <w:bookmarkStart w:id="84" w:name="_Toc332299954"/>
      <w:bookmarkStart w:id="85" w:name="_Toc332298357"/>
      <w:bookmarkStart w:id="86" w:name="_Toc332298833"/>
      <w:bookmarkStart w:id="87" w:name="_Toc332299118"/>
      <w:bookmarkStart w:id="88" w:name="_Toc332299397"/>
      <w:bookmarkStart w:id="89" w:name="_Toc332299678"/>
      <w:bookmarkStart w:id="90" w:name="_Toc332299957"/>
      <w:bookmarkStart w:id="91" w:name="_Toc332298359"/>
      <w:bookmarkStart w:id="92" w:name="_Toc332298835"/>
      <w:bookmarkStart w:id="93" w:name="_Toc332299120"/>
      <w:bookmarkStart w:id="94" w:name="_Toc332299399"/>
      <w:bookmarkStart w:id="95" w:name="_Toc332299680"/>
      <w:bookmarkStart w:id="96" w:name="_Toc332299959"/>
      <w:bookmarkStart w:id="97" w:name="_Toc332298361"/>
      <w:bookmarkStart w:id="98" w:name="_Toc332298837"/>
      <w:bookmarkStart w:id="99" w:name="_Toc332299122"/>
      <w:bookmarkStart w:id="100" w:name="_Toc332299401"/>
      <w:bookmarkStart w:id="101" w:name="_Toc332299682"/>
      <w:bookmarkStart w:id="102" w:name="_Toc332299961"/>
      <w:bookmarkStart w:id="103" w:name="_Toc332298368"/>
      <w:bookmarkStart w:id="104" w:name="_Toc332298844"/>
      <w:bookmarkStart w:id="105" w:name="_Toc332299129"/>
      <w:bookmarkStart w:id="106" w:name="_Toc332299408"/>
      <w:bookmarkStart w:id="107" w:name="_Toc332299689"/>
      <w:bookmarkStart w:id="108" w:name="_Toc332299968"/>
      <w:bookmarkStart w:id="109" w:name="_Toc332298376"/>
      <w:bookmarkStart w:id="110" w:name="_Toc332298852"/>
      <w:bookmarkStart w:id="111" w:name="_Toc332299137"/>
      <w:bookmarkStart w:id="112" w:name="_Toc332299416"/>
      <w:bookmarkStart w:id="113" w:name="_Toc332299697"/>
      <w:bookmarkStart w:id="114" w:name="_Toc332299976"/>
      <w:bookmarkStart w:id="115" w:name="_Toc332298377"/>
      <w:bookmarkStart w:id="116" w:name="_Toc332298853"/>
      <w:bookmarkStart w:id="117" w:name="_Toc332299138"/>
      <w:bookmarkStart w:id="118" w:name="_Toc332299417"/>
      <w:bookmarkStart w:id="119" w:name="_Toc332299698"/>
      <w:bookmarkStart w:id="120" w:name="_Toc332299977"/>
      <w:bookmarkStart w:id="121" w:name="_Toc332298378"/>
      <w:bookmarkStart w:id="122" w:name="_Toc332298854"/>
      <w:bookmarkStart w:id="123" w:name="_Toc332299139"/>
      <w:bookmarkStart w:id="124" w:name="_Toc332299418"/>
      <w:bookmarkStart w:id="125" w:name="_Toc332299699"/>
      <w:bookmarkStart w:id="126" w:name="_Toc332299978"/>
      <w:bookmarkStart w:id="127" w:name="_Toc332298379"/>
      <w:bookmarkStart w:id="128" w:name="_Toc332298855"/>
      <w:bookmarkStart w:id="129" w:name="_Toc332299140"/>
      <w:bookmarkStart w:id="130" w:name="_Toc332299419"/>
      <w:bookmarkStart w:id="131" w:name="_Toc332299700"/>
      <w:bookmarkStart w:id="132" w:name="_Toc332299979"/>
      <w:bookmarkStart w:id="133" w:name="_Toc332298381"/>
      <w:bookmarkStart w:id="134" w:name="_Toc332298857"/>
      <w:bookmarkStart w:id="135" w:name="_Toc332299142"/>
      <w:bookmarkStart w:id="136" w:name="_Toc332299421"/>
      <w:bookmarkStart w:id="137" w:name="_Toc332299702"/>
      <w:bookmarkStart w:id="138" w:name="_Toc332299981"/>
      <w:bookmarkStart w:id="139" w:name="_Toc332298390"/>
      <w:bookmarkStart w:id="140" w:name="_Toc332298866"/>
      <w:bookmarkStart w:id="141" w:name="_Toc332299151"/>
      <w:bookmarkStart w:id="142" w:name="_Toc332299430"/>
      <w:bookmarkStart w:id="143" w:name="_Toc332299711"/>
      <w:bookmarkStart w:id="144" w:name="_Toc332299990"/>
      <w:bookmarkStart w:id="145" w:name="_Toc332298395"/>
      <w:bookmarkStart w:id="146" w:name="_Toc332298871"/>
      <w:bookmarkStart w:id="147" w:name="_Toc332299156"/>
      <w:bookmarkStart w:id="148" w:name="_Toc332299435"/>
      <w:bookmarkStart w:id="149" w:name="_Toc332299716"/>
      <w:bookmarkStart w:id="150" w:name="_Toc332299995"/>
      <w:bookmarkStart w:id="151" w:name="_Toc332298396"/>
      <w:bookmarkStart w:id="152" w:name="_Toc332298872"/>
      <w:bookmarkStart w:id="153" w:name="_Toc332299157"/>
      <w:bookmarkStart w:id="154" w:name="_Toc332299436"/>
      <w:bookmarkStart w:id="155" w:name="_Toc332299717"/>
      <w:bookmarkStart w:id="156" w:name="_Toc332299996"/>
      <w:bookmarkStart w:id="157" w:name="_Toc332298397"/>
      <w:bookmarkStart w:id="158" w:name="_Toc332298873"/>
      <w:bookmarkStart w:id="159" w:name="_Toc332299158"/>
      <w:bookmarkStart w:id="160" w:name="_Toc332299437"/>
      <w:bookmarkStart w:id="161" w:name="_Toc332299718"/>
      <w:bookmarkStart w:id="162" w:name="_Toc332299997"/>
      <w:bookmarkStart w:id="163" w:name="_Toc332298398"/>
      <w:bookmarkStart w:id="164" w:name="_Toc332298874"/>
      <w:bookmarkStart w:id="165" w:name="_Toc332299159"/>
      <w:bookmarkStart w:id="166" w:name="_Toc332299438"/>
      <w:bookmarkStart w:id="167" w:name="_Toc332299719"/>
      <w:bookmarkStart w:id="168" w:name="_Toc332299998"/>
      <w:bookmarkStart w:id="169" w:name="_Toc332298401"/>
      <w:bookmarkStart w:id="170" w:name="_Toc332298877"/>
      <w:bookmarkStart w:id="171" w:name="_Toc332299162"/>
      <w:bookmarkStart w:id="172" w:name="_Toc332299441"/>
      <w:bookmarkStart w:id="173" w:name="_Toc332299722"/>
      <w:bookmarkStart w:id="174" w:name="_Toc332300001"/>
      <w:bookmarkStart w:id="175" w:name="_Toc332298403"/>
      <w:bookmarkStart w:id="176" w:name="_Toc332298879"/>
      <w:bookmarkStart w:id="177" w:name="_Toc332299164"/>
      <w:bookmarkStart w:id="178" w:name="_Toc332299443"/>
      <w:bookmarkStart w:id="179" w:name="_Toc332299724"/>
      <w:bookmarkStart w:id="180" w:name="_Toc332300003"/>
      <w:bookmarkStart w:id="181" w:name="_Toc325387326"/>
      <w:bookmarkStart w:id="182" w:name="_Toc325387449"/>
      <w:bookmarkStart w:id="183" w:name="_Toc325390289"/>
      <w:bookmarkStart w:id="184" w:name="_Toc332298405"/>
      <w:bookmarkStart w:id="185" w:name="_Toc332298881"/>
      <w:bookmarkStart w:id="186" w:name="_Toc332299166"/>
      <w:bookmarkStart w:id="187" w:name="_Toc332299445"/>
      <w:bookmarkStart w:id="188" w:name="_Toc332299726"/>
      <w:bookmarkStart w:id="189" w:name="_Toc332300005"/>
      <w:bookmarkStart w:id="190" w:name="_Toc325387331"/>
      <w:bookmarkStart w:id="191" w:name="_Toc325387454"/>
      <w:bookmarkStart w:id="192" w:name="_Toc325390294"/>
      <w:bookmarkStart w:id="193" w:name="_Toc332298410"/>
      <w:bookmarkStart w:id="194" w:name="_Toc332298886"/>
      <w:bookmarkStart w:id="195" w:name="_Toc332299171"/>
      <w:bookmarkStart w:id="196" w:name="_Toc332299450"/>
      <w:bookmarkStart w:id="197" w:name="_Toc332299731"/>
      <w:bookmarkStart w:id="198" w:name="_Toc332300010"/>
      <w:bookmarkStart w:id="199" w:name="_Toc325387334"/>
      <w:bookmarkStart w:id="200" w:name="_Toc325387457"/>
      <w:bookmarkStart w:id="201" w:name="_Toc325390297"/>
      <w:bookmarkStart w:id="202" w:name="_Toc332298413"/>
      <w:bookmarkStart w:id="203" w:name="_Toc332298889"/>
      <w:bookmarkStart w:id="204" w:name="_Toc332299174"/>
      <w:bookmarkStart w:id="205" w:name="_Toc332299453"/>
      <w:bookmarkStart w:id="206" w:name="_Toc332299734"/>
      <w:bookmarkStart w:id="207" w:name="_Toc332300013"/>
      <w:bookmarkStart w:id="208" w:name="_Toc325387339"/>
      <w:bookmarkStart w:id="209" w:name="_Toc325387462"/>
      <w:bookmarkStart w:id="210" w:name="_Toc325390302"/>
      <w:bookmarkStart w:id="211" w:name="_Toc332298418"/>
      <w:bookmarkStart w:id="212" w:name="_Toc332298894"/>
      <w:bookmarkStart w:id="213" w:name="_Toc332299179"/>
      <w:bookmarkStart w:id="214" w:name="_Toc332299458"/>
      <w:bookmarkStart w:id="215" w:name="_Toc332299739"/>
      <w:bookmarkStart w:id="216" w:name="_Toc332300018"/>
      <w:bookmarkStart w:id="217" w:name="_Toc325387342"/>
      <w:bookmarkStart w:id="218" w:name="_Toc325387465"/>
      <w:bookmarkStart w:id="219" w:name="_Toc325390305"/>
      <w:bookmarkStart w:id="220" w:name="_Toc332298421"/>
      <w:bookmarkStart w:id="221" w:name="_Toc332298897"/>
      <w:bookmarkStart w:id="222" w:name="_Toc332299182"/>
      <w:bookmarkStart w:id="223" w:name="_Toc332299461"/>
      <w:bookmarkStart w:id="224" w:name="_Toc332299742"/>
      <w:bookmarkStart w:id="225" w:name="_Toc332300021"/>
      <w:bookmarkStart w:id="226" w:name="_Toc325387347"/>
      <w:bookmarkStart w:id="227" w:name="_Toc325387470"/>
      <w:bookmarkStart w:id="228" w:name="_Toc325390310"/>
      <w:bookmarkStart w:id="229" w:name="_Toc332298426"/>
      <w:bookmarkStart w:id="230" w:name="_Toc332298902"/>
      <w:bookmarkStart w:id="231" w:name="_Toc332299187"/>
      <w:bookmarkStart w:id="232" w:name="_Toc332299466"/>
      <w:bookmarkStart w:id="233" w:name="_Toc332299747"/>
      <w:bookmarkStart w:id="234" w:name="_Toc332300026"/>
      <w:bookmarkStart w:id="235" w:name="_Toc325387350"/>
      <w:bookmarkStart w:id="236" w:name="_Toc325387473"/>
      <w:bookmarkStart w:id="237" w:name="_Toc325390313"/>
      <w:bookmarkStart w:id="238" w:name="_Toc332298429"/>
      <w:bookmarkStart w:id="239" w:name="_Toc332298905"/>
      <w:bookmarkStart w:id="240" w:name="_Toc332299190"/>
      <w:bookmarkStart w:id="241" w:name="_Toc332299469"/>
      <w:bookmarkStart w:id="242" w:name="_Toc332299750"/>
      <w:bookmarkStart w:id="243" w:name="_Toc332300029"/>
      <w:bookmarkStart w:id="244" w:name="_Toc325387355"/>
      <w:bookmarkStart w:id="245" w:name="_Toc325387478"/>
      <w:bookmarkStart w:id="246" w:name="_Toc325390318"/>
      <w:bookmarkStart w:id="247" w:name="_Toc332298434"/>
      <w:bookmarkStart w:id="248" w:name="_Toc332298910"/>
      <w:bookmarkStart w:id="249" w:name="_Toc332299195"/>
      <w:bookmarkStart w:id="250" w:name="_Toc332299474"/>
      <w:bookmarkStart w:id="251" w:name="_Toc332299755"/>
      <w:bookmarkStart w:id="252" w:name="_Toc332300034"/>
      <w:bookmarkStart w:id="253" w:name="_Toc325387358"/>
      <w:bookmarkStart w:id="254" w:name="_Toc325387481"/>
      <w:bookmarkStart w:id="255" w:name="_Toc325390321"/>
      <w:bookmarkStart w:id="256" w:name="_Toc332298437"/>
      <w:bookmarkStart w:id="257" w:name="_Toc332298913"/>
      <w:bookmarkStart w:id="258" w:name="_Toc332299198"/>
      <w:bookmarkStart w:id="259" w:name="_Toc332299477"/>
      <w:bookmarkStart w:id="260" w:name="_Toc332299758"/>
      <w:bookmarkStart w:id="261" w:name="_Toc332300037"/>
      <w:bookmarkStart w:id="262" w:name="_Toc325387363"/>
      <w:bookmarkStart w:id="263" w:name="_Toc325387486"/>
      <w:bookmarkStart w:id="264" w:name="_Toc325390326"/>
      <w:bookmarkStart w:id="265" w:name="_Toc332298442"/>
      <w:bookmarkStart w:id="266" w:name="_Toc332298918"/>
      <w:bookmarkStart w:id="267" w:name="_Toc332299203"/>
      <w:bookmarkStart w:id="268" w:name="_Toc332299482"/>
      <w:bookmarkStart w:id="269" w:name="_Toc332299763"/>
      <w:bookmarkStart w:id="270" w:name="_Toc332300042"/>
      <w:bookmarkStart w:id="271" w:name="_Toc325387366"/>
      <w:bookmarkStart w:id="272" w:name="_Toc325387489"/>
      <w:bookmarkStart w:id="273" w:name="_Toc325390329"/>
      <w:bookmarkStart w:id="274" w:name="_Toc332298445"/>
      <w:bookmarkStart w:id="275" w:name="_Toc332298921"/>
      <w:bookmarkStart w:id="276" w:name="_Toc332299206"/>
      <w:bookmarkStart w:id="277" w:name="_Toc332299485"/>
      <w:bookmarkStart w:id="278" w:name="_Toc332299766"/>
      <w:bookmarkStart w:id="279" w:name="_Toc332300045"/>
      <w:bookmarkStart w:id="280" w:name="_Toc325387371"/>
      <w:bookmarkStart w:id="281" w:name="_Toc325387494"/>
      <w:bookmarkStart w:id="282" w:name="_Toc325390334"/>
      <w:bookmarkStart w:id="283" w:name="_Toc332298450"/>
      <w:bookmarkStart w:id="284" w:name="_Toc332298926"/>
      <w:bookmarkStart w:id="285" w:name="_Toc332299211"/>
      <w:bookmarkStart w:id="286" w:name="_Toc332299490"/>
      <w:bookmarkStart w:id="287" w:name="_Toc332299771"/>
      <w:bookmarkStart w:id="288" w:name="_Toc332300050"/>
      <w:bookmarkStart w:id="289" w:name="_Toc325387374"/>
      <w:bookmarkStart w:id="290" w:name="_Toc325387497"/>
      <w:bookmarkStart w:id="291" w:name="_Toc325390337"/>
      <w:bookmarkStart w:id="292" w:name="_Toc332298453"/>
      <w:bookmarkStart w:id="293" w:name="_Toc332298929"/>
      <w:bookmarkStart w:id="294" w:name="_Toc332299214"/>
      <w:bookmarkStart w:id="295" w:name="_Toc332299493"/>
      <w:bookmarkStart w:id="296" w:name="_Toc332299774"/>
      <w:bookmarkStart w:id="297" w:name="_Toc332300053"/>
      <w:bookmarkStart w:id="298" w:name="_Toc325387380"/>
      <w:bookmarkStart w:id="299" w:name="_Toc325387503"/>
      <w:bookmarkStart w:id="300" w:name="_Toc325390343"/>
      <w:bookmarkStart w:id="301" w:name="_Toc332298459"/>
      <w:bookmarkStart w:id="302" w:name="_Toc332298935"/>
      <w:bookmarkStart w:id="303" w:name="_Toc332299220"/>
      <w:bookmarkStart w:id="304" w:name="_Toc332299499"/>
      <w:bookmarkStart w:id="305" w:name="_Toc332299780"/>
      <w:bookmarkStart w:id="306" w:name="_Toc332300059"/>
      <w:bookmarkStart w:id="307" w:name="_Toc325387383"/>
      <w:bookmarkStart w:id="308" w:name="_Toc325387506"/>
      <w:bookmarkStart w:id="309" w:name="_Toc325390346"/>
      <w:bookmarkStart w:id="310" w:name="_Toc332298462"/>
      <w:bookmarkStart w:id="311" w:name="_Toc332298938"/>
      <w:bookmarkStart w:id="312" w:name="_Toc332299223"/>
      <w:bookmarkStart w:id="313" w:name="_Toc332299502"/>
      <w:bookmarkStart w:id="314" w:name="_Toc332299783"/>
      <w:bookmarkStart w:id="315" w:name="_Toc332300062"/>
      <w:bookmarkStart w:id="316" w:name="_Toc325387386"/>
      <w:bookmarkStart w:id="317" w:name="_Toc325387509"/>
      <w:bookmarkStart w:id="318" w:name="_Toc325390349"/>
      <w:bookmarkStart w:id="319" w:name="_Toc332298465"/>
      <w:bookmarkStart w:id="320" w:name="_Toc332298941"/>
      <w:bookmarkStart w:id="321" w:name="_Toc332299226"/>
      <w:bookmarkStart w:id="322" w:name="_Toc332299505"/>
      <w:bookmarkStart w:id="323" w:name="_Toc332299786"/>
      <w:bookmarkStart w:id="324" w:name="_Toc332300065"/>
      <w:bookmarkStart w:id="325" w:name="_Toc325387389"/>
      <w:bookmarkStart w:id="326" w:name="_Toc325387512"/>
      <w:bookmarkStart w:id="327" w:name="_Toc325390352"/>
      <w:bookmarkStart w:id="328" w:name="_Toc332298468"/>
      <w:bookmarkStart w:id="329" w:name="_Toc332298944"/>
      <w:bookmarkStart w:id="330" w:name="_Toc332299229"/>
      <w:bookmarkStart w:id="331" w:name="_Toc332299508"/>
      <w:bookmarkStart w:id="332" w:name="_Toc332299789"/>
      <w:bookmarkStart w:id="333" w:name="_Toc332300068"/>
      <w:bookmarkStart w:id="334" w:name="_Toc325387394"/>
      <w:bookmarkStart w:id="335" w:name="_Toc325387517"/>
      <w:bookmarkStart w:id="336" w:name="_Toc325390357"/>
      <w:bookmarkStart w:id="337" w:name="_Toc332298473"/>
      <w:bookmarkStart w:id="338" w:name="_Toc332298949"/>
      <w:bookmarkStart w:id="339" w:name="_Toc332299234"/>
      <w:bookmarkStart w:id="340" w:name="_Toc332299513"/>
      <w:bookmarkStart w:id="341" w:name="_Toc332299794"/>
      <w:bookmarkStart w:id="342" w:name="_Toc332300073"/>
      <w:bookmarkStart w:id="343" w:name="_Toc332298476"/>
      <w:bookmarkStart w:id="344" w:name="_Toc332298952"/>
      <w:bookmarkStart w:id="345" w:name="_Toc332299237"/>
      <w:bookmarkStart w:id="346" w:name="_Toc332299516"/>
      <w:bookmarkStart w:id="347" w:name="_Toc332299797"/>
      <w:bookmarkStart w:id="348" w:name="_Toc332300076"/>
      <w:bookmarkStart w:id="349" w:name="_Toc332298480"/>
      <w:bookmarkStart w:id="350" w:name="_Toc332298956"/>
      <w:bookmarkStart w:id="351" w:name="_Toc332299241"/>
      <w:bookmarkStart w:id="352" w:name="_Toc332299520"/>
      <w:bookmarkStart w:id="353" w:name="_Toc332299801"/>
      <w:bookmarkStart w:id="354" w:name="_Toc332300080"/>
      <w:bookmarkStart w:id="355" w:name="_Toc332298484"/>
      <w:bookmarkStart w:id="356" w:name="_Toc332298960"/>
      <w:bookmarkStart w:id="357" w:name="_Toc332299245"/>
      <w:bookmarkStart w:id="358" w:name="_Toc332299524"/>
      <w:bookmarkStart w:id="359" w:name="_Toc332299805"/>
      <w:bookmarkStart w:id="360" w:name="_Toc332300084"/>
      <w:bookmarkStart w:id="361" w:name="_Toc332298486"/>
      <w:bookmarkStart w:id="362" w:name="_Toc332298962"/>
      <w:bookmarkStart w:id="363" w:name="_Toc332299247"/>
      <w:bookmarkStart w:id="364" w:name="_Toc332299526"/>
      <w:bookmarkStart w:id="365" w:name="_Toc332299807"/>
      <w:bookmarkStart w:id="366" w:name="_Toc332300086"/>
      <w:bookmarkStart w:id="367" w:name="_Toc332298490"/>
      <w:bookmarkStart w:id="368" w:name="_Toc332298966"/>
      <w:bookmarkStart w:id="369" w:name="_Toc332299251"/>
      <w:bookmarkStart w:id="370" w:name="_Toc332299530"/>
      <w:bookmarkStart w:id="371" w:name="_Toc332299811"/>
      <w:bookmarkStart w:id="372" w:name="_Toc332300090"/>
      <w:bookmarkStart w:id="373" w:name="_Toc332298494"/>
      <w:bookmarkStart w:id="374" w:name="_Toc332298970"/>
      <w:bookmarkStart w:id="375" w:name="_Toc332299255"/>
      <w:bookmarkStart w:id="376" w:name="_Toc332299534"/>
      <w:bookmarkStart w:id="377" w:name="_Toc332299815"/>
      <w:bookmarkStart w:id="378" w:name="_Toc332300094"/>
      <w:bookmarkStart w:id="379" w:name="_Toc332298495"/>
      <w:bookmarkStart w:id="380" w:name="_Toc332298971"/>
      <w:bookmarkStart w:id="381" w:name="_Toc332299256"/>
      <w:bookmarkStart w:id="382" w:name="_Toc332299535"/>
      <w:bookmarkStart w:id="383" w:name="_Toc332299816"/>
      <w:bookmarkStart w:id="384" w:name="_Toc332300095"/>
      <w:bookmarkStart w:id="385" w:name="_Toc332298498"/>
      <w:bookmarkStart w:id="386" w:name="_Toc332298974"/>
      <w:bookmarkStart w:id="387" w:name="_Toc332299259"/>
      <w:bookmarkStart w:id="388" w:name="_Toc332299538"/>
      <w:bookmarkStart w:id="389" w:name="_Toc332299819"/>
      <w:bookmarkStart w:id="390" w:name="_Toc332300098"/>
      <w:bookmarkStart w:id="391" w:name="_Toc325387398"/>
      <w:bookmarkStart w:id="392" w:name="_Toc325387521"/>
      <w:bookmarkStart w:id="393" w:name="_Toc325390360"/>
      <w:bookmarkStart w:id="394" w:name="_Toc332296711"/>
      <w:bookmarkStart w:id="395" w:name="_Toc332297497"/>
      <w:bookmarkStart w:id="396" w:name="_Toc332298499"/>
      <w:bookmarkStart w:id="397" w:name="_Toc332298975"/>
      <w:bookmarkStart w:id="398" w:name="_Toc332299260"/>
      <w:bookmarkStart w:id="399" w:name="_Toc332299539"/>
      <w:bookmarkStart w:id="400" w:name="_Toc332299820"/>
      <w:bookmarkStart w:id="401" w:name="_Toc332300099"/>
      <w:bookmarkStart w:id="402" w:name="_Toc325387402"/>
      <w:bookmarkStart w:id="403" w:name="_Toc325387525"/>
      <w:bookmarkStart w:id="404" w:name="_Toc325390364"/>
      <w:bookmarkStart w:id="405" w:name="_Toc332296715"/>
      <w:bookmarkStart w:id="406" w:name="_Toc332297501"/>
      <w:bookmarkStart w:id="407" w:name="_Toc332298503"/>
      <w:bookmarkStart w:id="408" w:name="_Toc332298979"/>
      <w:bookmarkStart w:id="409" w:name="_Toc332299264"/>
      <w:bookmarkStart w:id="410" w:name="_Toc332299543"/>
      <w:bookmarkStart w:id="411" w:name="_Toc332299824"/>
      <w:bookmarkStart w:id="412" w:name="_Toc332300103"/>
      <w:bookmarkStart w:id="413" w:name="_Toc325387405"/>
      <w:bookmarkStart w:id="414" w:name="_Toc325387528"/>
      <w:bookmarkStart w:id="415" w:name="_Toc325390367"/>
      <w:bookmarkStart w:id="416" w:name="_Toc332296718"/>
      <w:bookmarkStart w:id="417" w:name="_Toc332297504"/>
      <w:bookmarkStart w:id="418" w:name="_Toc332298506"/>
      <w:bookmarkStart w:id="419" w:name="_Toc332298982"/>
      <w:bookmarkStart w:id="420" w:name="_Toc332299267"/>
      <w:bookmarkStart w:id="421" w:name="_Toc332299546"/>
      <w:bookmarkStart w:id="422" w:name="_Toc332299827"/>
      <w:bookmarkStart w:id="423" w:name="_Toc332300106"/>
      <w:bookmarkStart w:id="424" w:name="_Toc325387408"/>
      <w:bookmarkStart w:id="425" w:name="_Toc325387531"/>
      <w:bookmarkStart w:id="426" w:name="_Toc325390370"/>
      <w:bookmarkStart w:id="427" w:name="_Toc332296721"/>
      <w:bookmarkStart w:id="428" w:name="_Toc332297507"/>
      <w:bookmarkStart w:id="429" w:name="_Toc332298509"/>
      <w:bookmarkStart w:id="430" w:name="_Toc332298985"/>
      <w:bookmarkStart w:id="431" w:name="_Toc332299270"/>
      <w:bookmarkStart w:id="432" w:name="_Toc332299549"/>
      <w:bookmarkStart w:id="433" w:name="_Toc332299830"/>
      <w:bookmarkStart w:id="434" w:name="_Toc332300109"/>
      <w:bookmarkStart w:id="435" w:name="_Toc325387411"/>
      <w:bookmarkStart w:id="436" w:name="_Toc325387534"/>
      <w:bookmarkStart w:id="437" w:name="_Toc325390373"/>
      <w:bookmarkStart w:id="438" w:name="_Toc332296724"/>
      <w:bookmarkStart w:id="439" w:name="_Toc332297510"/>
      <w:bookmarkStart w:id="440" w:name="_Toc332298512"/>
      <w:bookmarkStart w:id="441" w:name="_Toc332298988"/>
      <w:bookmarkStart w:id="442" w:name="_Toc332299273"/>
      <w:bookmarkStart w:id="443" w:name="_Toc332299552"/>
      <w:bookmarkStart w:id="444" w:name="_Toc332299833"/>
      <w:bookmarkStart w:id="445" w:name="_Toc332300112"/>
      <w:bookmarkStart w:id="446" w:name="_Toc325387416"/>
      <w:bookmarkStart w:id="447" w:name="_Toc325387539"/>
      <w:bookmarkStart w:id="448" w:name="_Toc325390378"/>
      <w:bookmarkStart w:id="449" w:name="_Toc332296729"/>
      <w:bookmarkStart w:id="450" w:name="_Toc332297515"/>
      <w:bookmarkStart w:id="451" w:name="_Toc332298517"/>
      <w:bookmarkStart w:id="452" w:name="_Toc332298993"/>
      <w:bookmarkStart w:id="453" w:name="_Toc332299278"/>
      <w:bookmarkStart w:id="454" w:name="_Toc332299557"/>
      <w:bookmarkStart w:id="455" w:name="_Toc332299838"/>
      <w:bookmarkStart w:id="456" w:name="_Toc332300117"/>
      <w:bookmarkStart w:id="457" w:name="_Toc325387417"/>
      <w:bookmarkStart w:id="458" w:name="_Toc325387540"/>
      <w:bookmarkStart w:id="459" w:name="_Toc325390379"/>
      <w:bookmarkStart w:id="460" w:name="_Toc332296730"/>
      <w:bookmarkStart w:id="461" w:name="_Toc332297516"/>
      <w:bookmarkStart w:id="462" w:name="_Toc332298518"/>
      <w:bookmarkStart w:id="463" w:name="_Toc332298994"/>
      <w:bookmarkStart w:id="464" w:name="_Toc332299279"/>
      <w:bookmarkStart w:id="465" w:name="_Toc332299558"/>
      <w:bookmarkStart w:id="466" w:name="_Toc332299839"/>
      <w:bookmarkStart w:id="467" w:name="_Toc332300118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r w:rsidRPr="00A77802">
        <w:rPr>
          <w:rFonts w:ascii="Times New Roman" w:eastAsia="Times New Roman" w:hAnsi="Times New Roman" w:cs="Times New Roman"/>
          <w:b/>
          <w:sz w:val="24"/>
          <w:szCs w:val="24"/>
          <w:lang w:val="pl-PL" w:eastAsia="fr-LU"/>
        </w:rPr>
        <w:t>Streszczenie planu zarządzania ryzykiem dla</w:t>
      </w:r>
      <w:r w:rsidR="008667C2" w:rsidRPr="00A77802">
        <w:rPr>
          <w:rFonts w:ascii="Times New Roman" w:eastAsia="Times New Roman" w:hAnsi="Times New Roman" w:cs="Times New Roman"/>
          <w:b/>
          <w:sz w:val="24"/>
          <w:szCs w:val="24"/>
          <w:lang w:val="pl-PL" w:eastAsia="fr-LU"/>
        </w:rPr>
        <w:t xml:space="preserve"> produktu leczniczego</w:t>
      </w:r>
      <w:r w:rsidRPr="00A77802">
        <w:rPr>
          <w:rFonts w:ascii="Times New Roman" w:eastAsia="Times New Roman" w:hAnsi="Times New Roman" w:cs="Times New Roman"/>
          <w:b/>
          <w:sz w:val="24"/>
          <w:szCs w:val="24"/>
          <w:lang w:val="pl-PL" w:eastAsia="fr-LU"/>
        </w:rPr>
        <w:t xml:space="preserve"> </w:t>
      </w:r>
      <w:proofErr w:type="spellStart"/>
      <w:proofErr w:type="gramStart"/>
      <w:r w:rsidR="009C1EDC">
        <w:rPr>
          <w:rFonts w:ascii="Times New Roman" w:eastAsia="Times New Roman" w:hAnsi="Times New Roman" w:cs="Times New Roman"/>
          <w:b/>
          <w:sz w:val="24"/>
          <w:szCs w:val="24"/>
          <w:lang w:val="pl-PL" w:eastAsia="fr-LU"/>
        </w:rPr>
        <w:t>Devir</w:t>
      </w:r>
      <w:proofErr w:type="spellEnd"/>
      <w:r w:rsidR="00526B0D">
        <w:rPr>
          <w:rFonts w:ascii="Times New Roman" w:eastAsia="Times New Roman" w:hAnsi="Times New Roman" w:cs="Times New Roman"/>
          <w:b/>
          <w:sz w:val="24"/>
          <w:szCs w:val="24"/>
          <w:lang w:val="pl-PL" w:eastAsia="fr-LU"/>
        </w:rPr>
        <w:t>,</w:t>
      </w:r>
      <w:proofErr w:type="gramEnd"/>
      <w:r w:rsidR="00526B0D">
        <w:rPr>
          <w:rFonts w:ascii="Times New Roman" w:eastAsia="Times New Roman" w:hAnsi="Times New Roman" w:cs="Times New Roman"/>
          <w:b/>
          <w:sz w:val="24"/>
          <w:szCs w:val="24"/>
          <w:lang w:val="pl-PL" w:eastAsia="fr-LU"/>
        </w:rPr>
        <w:t xml:space="preserve"> </w:t>
      </w:r>
      <w:r w:rsidRPr="00A77802">
        <w:rPr>
          <w:rFonts w:ascii="Times New Roman" w:eastAsia="Times New Roman" w:hAnsi="Times New Roman" w:cs="Times New Roman"/>
          <w:b/>
          <w:sz w:val="24"/>
          <w:szCs w:val="24"/>
          <w:lang w:val="pl-PL" w:eastAsia="fr-LU"/>
        </w:rPr>
        <w:t>(</w:t>
      </w:r>
      <w:proofErr w:type="spellStart"/>
      <w:r w:rsidR="007B3A2D" w:rsidRPr="00EC22A3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pl-PL" w:eastAsia="fr-LU"/>
        </w:rPr>
        <w:t>acy</w:t>
      </w:r>
      <w:r w:rsidR="007915BD" w:rsidRPr="00EC22A3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pl-PL" w:eastAsia="fr-LU"/>
        </w:rPr>
        <w:t>c</w:t>
      </w:r>
      <w:r w:rsidR="007B3A2D" w:rsidRPr="00EC22A3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pl-PL" w:eastAsia="fr-LU"/>
        </w:rPr>
        <w:t>lo</w:t>
      </w:r>
      <w:r w:rsidR="007915BD" w:rsidRPr="00EC22A3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pl-PL" w:eastAsia="fr-LU"/>
        </w:rPr>
        <w:t>v</w:t>
      </w:r>
      <w:r w:rsidR="007B3A2D" w:rsidRPr="00EC22A3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pl-PL" w:eastAsia="fr-LU"/>
        </w:rPr>
        <w:t>ir</w:t>
      </w:r>
      <w:r w:rsidR="007915BD" w:rsidRPr="00EC22A3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pl-PL" w:eastAsia="fr-LU"/>
        </w:rPr>
        <w:t>um</w:t>
      </w:r>
      <w:proofErr w:type="spellEnd"/>
      <w:r w:rsidRPr="00A77802">
        <w:rPr>
          <w:rFonts w:ascii="Times New Roman" w:eastAsia="Times New Roman" w:hAnsi="Times New Roman" w:cs="Times New Roman"/>
          <w:b/>
          <w:sz w:val="24"/>
          <w:szCs w:val="24"/>
          <w:lang w:val="pl-PL" w:eastAsia="fr-LU"/>
        </w:rPr>
        <w:t>)</w:t>
      </w:r>
    </w:p>
    <w:p w14:paraId="4AF9FDD5" w14:textId="77777777" w:rsidR="00A77802" w:rsidRDefault="00A77802" w:rsidP="002D5BF9">
      <w:pPr>
        <w:pStyle w:val="BodytextAgency"/>
        <w:jc w:val="both"/>
        <w:rPr>
          <w:rFonts w:ascii="Times New Roman" w:hAnsi="Times New Roman" w:cs="Times New Roman"/>
          <w:sz w:val="22"/>
          <w:szCs w:val="22"/>
          <w:lang w:val="pl-PL"/>
        </w:rPr>
      </w:pPr>
    </w:p>
    <w:p w14:paraId="738BC0CC" w14:textId="4017BA51" w:rsidR="002D5BF9" w:rsidRPr="00A77802" w:rsidRDefault="002D5BF9" w:rsidP="002D5BF9">
      <w:pPr>
        <w:pStyle w:val="BodytextAgency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77802">
        <w:rPr>
          <w:rFonts w:ascii="Times New Roman" w:hAnsi="Times New Roman" w:cs="Times New Roman"/>
          <w:sz w:val="22"/>
          <w:szCs w:val="22"/>
          <w:lang w:val="pl-PL"/>
        </w:rPr>
        <w:t>To jest streszczenie planu zarządzania ryzykiem</w:t>
      </w:r>
      <w:r w:rsidR="00684F7B" w:rsidRPr="00A77802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Pr="00A77802">
        <w:rPr>
          <w:rFonts w:ascii="Times New Roman" w:hAnsi="Times New Roman" w:cs="Times New Roman"/>
          <w:sz w:val="22"/>
          <w:szCs w:val="22"/>
          <w:lang w:val="pl-PL"/>
        </w:rPr>
        <w:t>dla</w:t>
      </w:r>
      <w:r w:rsidR="008667C2" w:rsidRPr="00A77802">
        <w:rPr>
          <w:rFonts w:ascii="Times New Roman" w:hAnsi="Times New Roman" w:cs="Times New Roman"/>
          <w:sz w:val="22"/>
          <w:szCs w:val="22"/>
          <w:lang w:val="pl-PL"/>
        </w:rPr>
        <w:t xml:space="preserve"> produktu leczniczego</w:t>
      </w:r>
      <w:r w:rsidRPr="00A77802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proofErr w:type="spellStart"/>
      <w:r w:rsidR="009C1EDC">
        <w:rPr>
          <w:rFonts w:ascii="Times New Roman" w:hAnsi="Times New Roman" w:cs="Times New Roman"/>
          <w:sz w:val="22"/>
          <w:szCs w:val="22"/>
          <w:lang w:val="pl-PL"/>
        </w:rPr>
        <w:t>Devir</w:t>
      </w:r>
      <w:proofErr w:type="spellEnd"/>
      <w:r w:rsidRPr="00A77802">
        <w:rPr>
          <w:rFonts w:ascii="Times New Roman" w:hAnsi="Times New Roman" w:cs="Times New Roman"/>
          <w:sz w:val="22"/>
          <w:szCs w:val="22"/>
          <w:lang w:val="pl-PL"/>
        </w:rPr>
        <w:t xml:space="preserve">. </w:t>
      </w:r>
      <w:r w:rsidR="008667C2" w:rsidRPr="00A77802">
        <w:rPr>
          <w:rFonts w:ascii="Times New Roman" w:hAnsi="Times New Roman" w:cs="Times New Roman"/>
          <w:sz w:val="22"/>
          <w:szCs w:val="22"/>
          <w:lang w:val="pl-PL"/>
        </w:rPr>
        <w:t xml:space="preserve">Dokument opisuje </w:t>
      </w:r>
      <w:r w:rsidR="006A0848">
        <w:rPr>
          <w:rFonts w:ascii="Times New Roman" w:hAnsi="Times New Roman" w:cs="Times New Roman"/>
          <w:sz w:val="22"/>
          <w:szCs w:val="22"/>
          <w:lang w:val="pl-PL"/>
        </w:rPr>
        <w:br/>
      </w:r>
      <w:r w:rsidR="008667C2" w:rsidRPr="00A77802">
        <w:rPr>
          <w:rFonts w:ascii="Times New Roman" w:hAnsi="Times New Roman" w:cs="Times New Roman"/>
          <w:sz w:val="22"/>
          <w:szCs w:val="22"/>
          <w:lang w:val="pl-PL"/>
        </w:rPr>
        <w:t>w</w:t>
      </w:r>
      <w:r w:rsidRPr="00A77802">
        <w:rPr>
          <w:rFonts w:ascii="Times New Roman" w:hAnsi="Times New Roman" w:cs="Times New Roman"/>
          <w:sz w:val="22"/>
          <w:szCs w:val="22"/>
          <w:lang w:val="pl-PL"/>
        </w:rPr>
        <w:t xml:space="preserve"> szczegó</w:t>
      </w:r>
      <w:r w:rsidR="008667C2" w:rsidRPr="00A77802">
        <w:rPr>
          <w:rFonts w:ascii="Times New Roman" w:hAnsi="Times New Roman" w:cs="Times New Roman"/>
          <w:sz w:val="22"/>
          <w:szCs w:val="22"/>
          <w:lang w:val="pl-PL"/>
        </w:rPr>
        <w:t>łowy sposób</w:t>
      </w:r>
      <w:r w:rsidRPr="00A77802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8667C2" w:rsidRPr="00A77802">
        <w:rPr>
          <w:rFonts w:ascii="Times New Roman" w:hAnsi="Times New Roman" w:cs="Times New Roman"/>
          <w:sz w:val="22"/>
          <w:szCs w:val="22"/>
          <w:lang w:val="pl-PL"/>
        </w:rPr>
        <w:t>istotne ryzyka związane ze stosowaniem produktu</w:t>
      </w:r>
      <w:r w:rsidRPr="00A77802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proofErr w:type="spellStart"/>
      <w:r w:rsidR="009C1EDC">
        <w:rPr>
          <w:rFonts w:ascii="Times New Roman" w:hAnsi="Times New Roman" w:cs="Times New Roman"/>
          <w:sz w:val="22"/>
          <w:szCs w:val="22"/>
          <w:lang w:val="pl-PL"/>
        </w:rPr>
        <w:t>Devir</w:t>
      </w:r>
      <w:proofErr w:type="spellEnd"/>
      <w:r w:rsidRPr="00A77802">
        <w:rPr>
          <w:rFonts w:ascii="Times New Roman" w:hAnsi="Times New Roman" w:cs="Times New Roman"/>
          <w:sz w:val="22"/>
          <w:szCs w:val="22"/>
          <w:lang w:val="pl-PL"/>
        </w:rPr>
        <w:t xml:space="preserve">, </w:t>
      </w:r>
      <w:r w:rsidR="008667C2" w:rsidRPr="00A77802">
        <w:rPr>
          <w:rFonts w:ascii="Times New Roman" w:hAnsi="Times New Roman" w:cs="Times New Roman"/>
          <w:sz w:val="22"/>
          <w:szCs w:val="22"/>
          <w:lang w:val="pl-PL"/>
        </w:rPr>
        <w:t>w jaki sposób ryzyko można ograniczyć i</w:t>
      </w:r>
      <w:r w:rsidRPr="00A77802">
        <w:rPr>
          <w:rFonts w:ascii="Times New Roman" w:hAnsi="Times New Roman" w:cs="Times New Roman"/>
          <w:sz w:val="22"/>
          <w:szCs w:val="22"/>
          <w:lang w:val="pl-PL"/>
        </w:rPr>
        <w:t xml:space="preserve"> jak uzyskać więcej informacji </w:t>
      </w:r>
      <w:r w:rsidR="008667C2" w:rsidRPr="00A77802">
        <w:rPr>
          <w:rFonts w:ascii="Times New Roman" w:hAnsi="Times New Roman" w:cs="Times New Roman"/>
          <w:sz w:val="22"/>
          <w:szCs w:val="22"/>
          <w:lang w:val="pl-PL"/>
        </w:rPr>
        <w:t>o</w:t>
      </w:r>
      <w:r w:rsidRPr="00A77802">
        <w:rPr>
          <w:rFonts w:ascii="Times New Roman" w:hAnsi="Times New Roman" w:cs="Times New Roman"/>
          <w:sz w:val="22"/>
          <w:szCs w:val="22"/>
          <w:lang w:val="pl-PL"/>
        </w:rPr>
        <w:t xml:space="preserve"> zagroże</w:t>
      </w:r>
      <w:r w:rsidR="008667C2" w:rsidRPr="00A77802">
        <w:rPr>
          <w:rFonts w:ascii="Times New Roman" w:hAnsi="Times New Roman" w:cs="Times New Roman"/>
          <w:sz w:val="22"/>
          <w:szCs w:val="22"/>
          <w:lang w:val="pl-PL"/>
        </w:rPr>
        <w:t>niach</w:t>
      </w:r>
      <w:r w:rsidRPr="00A77802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8667C2" w:rsidRPr="00A77802">
        <w:rPr>
          <w:rFonts w:ascii="Times New Roman" w:hAnsi="Times New Roman" w:cs="Times New Roman"/>
          <w:sz w:val="22"/>
          <w:szCs w:val="22"/>
          <w:lang w:val="pl-PL"/>
        </w:rPr>
        <w:t xml:space="preserve">i danych na temat </w:t>
      </w:r>
      <w:r w:rsidRPr="00A77802">
        <w:rPr>
          <w:rFonts w:ascii="Times New Roman" w:hAnsi="Times New Roman" w:cs="Times New Roman"/>
          <w:sz w:val="22"/>
          <w:szCs w:val="22"/>
          <w:lang w:val="pl-PL"/>
        </w:rPr>
        <w:t>brakując</w:t>
      </w:r>
      <w:r w:rsidR="008667C2" w:rsidRPr="00A77802">
        <w:rPr>
          <w:rFonts w:ascii="Times New Roman" w:hAnsi="Times New Roman" w:cs="Times New Roman"/>
          <w:sz w:val="22"/>
          <w:szCs w:val="22"/>
          <w:lang w:val="pl-PL"/>
        </w:rPr>
        <w:t>ych</w:t>
      </w:r>
      <w:r w:rsidRPr="00A77802">
        <w:rPr>
          <w:rFonts w:ascii="Times New Roman" w:hAnsi="Times New Roman" w:cs="Times New Roman"/>
          <w:sz w:val="22"/>
          <w:szCs w:val="22"/>
          <w:lang w:val="pl-PL"/>
        </w:rPr>
        <w:t xml:space="preserve"> informacj</w:t>
      </w:r>
      <w:r w:rsidR="008667C2" w:rsidRPr="00A77802">
        <w:rPr>
          <w:rFonts w:ascii="Times New Roman" w:hAnsi="Times New Roman" w:cs="Times New Roman"/>
          <w:sz w:val="22"/>
          <w:szCs w:val="22"/>
          <w:lang w:val="pl-PL"/>
        </w:rPr>
        <w:t>i</w:t>
      </w:r>
      <w:r w:rsidRPr="00A77802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8667C2" w:rsidRPr="00A77802">
        <w:rPr>
          <w:rFonts w:ascii="Times New Roman" w:hAnsi="Times New Roman" w:cs="Times New Roman"/>
          <w:sz w:val="22"/>
          <w:szCs w:val="22"/>
          <w:lang w:val="pl-PL"/>
        </w:rPr>
        <w:t>związanych</w:t>
      </w:r>
      <w:r w:rsidRPr="00A77802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8667C2" w:rsidRPr="00A77802">
        <w:rPr>
          <w:rFonts w:ascii="Times New Roman" w:hAnsi="Times New Roman" w:cs="Times New Roman"/>
          <w:sz w:val="22"/>
          <w:szCs w:val="22"/>
          <w:lang w:val="pl-PL"/>
        </w:rPr>
        <w:t xml:space="preserve">z przyjmowaniem produktu leczniczego </w:t>
      </w:r>
      <w:proofErr w:type="spellStart"/>
      <w:r w:rsidR="009C1EDC">
        <w:rPr>
          <w:rFonts w:ascii="Times New Roman" w:hAnsi="Times New Roman" w:cs="Times New Roman"/>
          <w:sz w:val="22"/>
          <w:szCs w:val="22"/>
          <w:lang w:val="pl-PL"/>
        </w:rPr>
        <w:t>Devir</w:t>
      </w:r>
      <w:proofErr w:type="spellEnd"/>
      <w:r w:rsidRPr="00A77802">
        <w:rPr>
          <w:rFonts w:ascii="Times New Roman" w:hAnsi="Times New Roman" w:cs="Times New Roman"/>
          <w:sz w:val="22"/>
          <w:szCs w:val="22"/>
          <w:lang w:val="pl-PL"/>
        </w:rPr>
        <w:t>.</w:t>
      </w:r>
    </w:p>
    <w:p w14:paraId="53704BF1" w14:textId="22BDE3D5" w:rsidR="008667C2" w:rsidRDefault="008667C2" w:rsidP="008667C2">
      <w:pPr>
        <w:pStyle w:val="BodytextAgency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77802">
        <w:rPr>
          <w:rFonts w:ascii="Times New Roman" w:hAnsi="Times New Roman" w:cs="Times New Roman"/>
          <w:sz w:val="22"/>
          <w:szCs w:val="22"/>
          <w:lang w:val="pl-PL"/>
        </w:rPr>
        <w:t xml:space="preserve">Charakterystyka produktu leczniczego </w:t>
      </w:r>
      <w:proofErr w:type="spellStart"/>
      <w:r w:rsidR="009C1EDC">
        <w:rPr>
          <w:rFonts w:ascii="Times New Roman" w:hAnsi="Times New Roman" w:cs="Times New Roman"/>
          <w:sz w:val="22"/>
          <w:szCs w:val="22"/>
          <w:lang w:val="pl-PL"/>
        </w:rPr>
        <w:t>Devir</w:t>
      </w:r>
      <w:proofErr w:type="spellEnd"/>
      <w:r w:rsidR="00526B0D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Pr="00A77802">
        <w:rPr>
          <w:rFonts w:ascii="Times New Roman" w:hAnsi="Times New Roman" w:cs="Times New Roman"/>
          <w:sz w:val="22"/>
          <w:szCs w:val="22"/>
          <w:lang w:val="pl-PL"/>
        </w:rPr>
        <w:t xml:space="preserve">i ulotka dla pacjenta zawiera najważniejsze informacje dla osób wykonujących zawody medyczne i dla pacjentów, jak produkt leczniczy </w:t>
      </w:r>
      <w:proofErr w:type="spellStart"/>
      <w:r w:rsidR="009C1EDC">
        <w:rPr>
          <w:rFonts w:ascii="Times New Roman" w:hAnsi="Times New Roman" w:cs="Times New Roman"/>
          <w:sz w:val="22"/>
          <w:szCs w:val="22"/>
          <w:lang w:val="pl-PL"/>
        </w:rPr>
        <w:t>Devir</w:t>
      </w:r>
      <w:proofErr w:type="spellEnd"/>
      <w:r w:rsidR="00526B0D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Pr="00A77802">
        <w:rPr>
          <w:rFonts w:ascii="Times New Roman" w:hAnsi="Times New Roman" w:cs="Times New Roman"/>
          <w:sz w:val="22"/>
          <w:szCs w:val="22"/>
          <w:lang w:val="pl-PL"/>
        </w:rPr>
        <w:t>powinien być stosowany.</w:t>
      </w:r>
    </w:p>
    <w:p w14:paraId="161E43E1" w14:textId="711A667C" w:rsidR="00BE25F7" w:rsidRDefault="00BE25F7" w:rsidP="008667C2">
      <w:pPr>
        <w:pStyle w:val="BodytextAgency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5C28CC">
        <w:rPr>
          <w:rFonts w:ascii="Times New Roman" w:hAnsi="Times New Roman" w:cs="Times New Roman"/>
          <w:sz w:val="22"/>
          <w:szCs w:val="22"/>
          <w:lang w:val="pl-PL"/>
        </w:rPr>
        <w:t xml:space="preserve">Ważne nowe zagadnienia lub zmiany odnoszące się do już opisanych kwestii powinny zostać zawarte w aktualizacji RMP dla produktu leczniczego </w:t>
      </w:r>
      <w:proofErr w:type="spellStart"/>
      <w:r w:rsidR="009C1EDC">
        <w:rPr>
          <w:rFonts w:ascii="Times New Roman" w:hAnsi="Times New Roman" w:cs="Times New Roman"/>
          <w:sz w:val="22"/>
          <w:szCs w:val="22"/>
          <w:lang w:val="pl-PL"/>
        </w:rPr>
        <w:t>Devir</w:t>
      </w:r>
      <w:proofErr w:type="spellEnd"/>
      <w:r w:rsidRPr="005C28CC">
        <w:rPr>
          <w:rFonts w:ascii="Times New Roman" w:hAnsi="Times New Roman" w:cs="Times New Roman"/>
          <w:sz w:val="22"/>
          <w:szCs w:val="22"/>
          <w:lang w:val="pl-PL"/>
        </w:rPr>
        <w:t>.</w:t>
      </w:r>
    </w:p>
    <w:p w14:paraId="221ED4B9" w14:textId="77777777" w:rsidR="00526B0D" w:rsidRPr="005C28CC" w:rsidRDefault="00526B0D" w:rsidP="008667C2">
      <w:pPr>
        <w:pStyle w:val="BodytextAgency"/>
        <w:jc w:val="both"/>
        <w:rPr>
          <w:rFonts w:ascii="Times New Roman" w:hAnsi="Times New Roman" w:cs="Times New Roman"/>
          <w:sz w:val="22"/>
          <w:szCs w:val="22"/>
          <w:lang w:val="pl-PL"/>
        </w:rPr>
      </w:pPr>
    </w:p>
    <w:p w14:paraId="13D389B6" w14:textId="77777777" w:rsidR="002D5BF9" w:rsidRPr="00A77802" w:rsidRDefault="002D5BF9" w:rsidP="002D5BF9">
      <w:pPr>
        <w:pStyle w:val="BodytextAgency"/>
        <w:jc w:val="both"/>
        <w:rPr>
          <w:rFonts w:ascii="Times New Roman" w:hAnsi="Times New Roman" w:cs="Times New Roman"/>
          <w:b/>
          <w:sz w:val="22"/>
          <w:szCs w:val="22"/>
          <w:lang w:val="pl-PL"/>
        </w:rPr>
      </w:pPr>
      <w:r w:rsidRPr="00A77802">
        <w:rPr>
          <w:rFonts w:ascii="Times New Roman" w:hAnsi="Times New Roman" w:cs="Times New Roman"/>
          <w:b/>
          <w:sz w:val="22"/>
          <w:szCs w:val="22"/>
          <w:lang w:val="pl-PL"/>
        </w:rPr>
        <w:t>I. Informacje na temat leku i w jakim celu się go stosuje</w:t>
      </w:r>
    </w:p>
    <w:p w14:paraId="3556D00D" w14:textId="640B8B54" w:rsidR="008667C2" w:rsidRDefault="00526B0D" w:rsidP="00526B0D">
      <w:pPr>
        <w:pStyle w:val="BodytextAgency"/>
        <w:jc w:val="both"/>
        <w:rPr>
          <w:rFonts w:ascii="Times New Roman" w:hAnsi="Times New Roman" w:cs="Times New Roman"/>
          <w:i/>
          <w:color w:val="008000"/>
          <w:sz w:val="22"/>
          <w:szCs w:val="22"/>
          <w:lang w:val="pl-PL"/>
        </w:rPr>
      </w:pPr>
      <w:r w:rsidRPr="00526B0D">
        <w:rPr>
          <w:rFonts w:ascii="Times New Roman" w:hAnsi="Times New Roman" w:cs="Times New Roman"/>
          <w:sz w:val="22"/>
          <w:szCs w:val="22"/>
          <w:lang w:val="pl-PL"/>
        </w:rPr>
        <w:t xml:space="preserve">Produkt leczniczy </w:t>
      </w:r>
      <w:proofErr w:type="spellStart"/>
      <w:r w:rsidR="009C1EDC">
        <w:rPr>
          <w:rFonts w:ascii="Times New Roman" w:hAnsi="Times New Roman" w:cs="Times New Roman"/>
          <w:sz w:val="22"/>
          <w:szCs w:val="22"/>
          <w:lang w:val="pl-PL"/>
        </w:rPr>
        <w:t>Devir</w:t>
      </w:r>
      <w:proofErr w:type="spellEnd"/>
      <w:r w:rsidRPr="00526B0D">
        <w:rPr>
          <w:rFonts w:ascii="Times New Roman" w:hAnsi="Times New Roman" w:cs="Times New Roman"/>
          <w:sz w:val="22"/>
          <w:szCs w:val="22"/>
          <w:lang w:val="pl-PL"/>
        </w:rPr>
        <w:t xml:space="preserve"> w postaci kremu </w:t>
      </w:r>
      <w:r w:rsidR="00790A2F" w:rsidRPr="00790A2F">
        <w:rPr>
          <w:rFonts w:ascii="Times New Roman" w:eastAsia="Times New Roman" w:hAnsi="Times New Roman" w:cs="Times New Roman"/>
          <w:spacing w:val="1"/>
          <w:sz w:val="22"/>
          <w:szCs w:val="22"/>
          <w:lang w:val="pl-PL"/>
        </w:rPr>
        <w:t>j</w:t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>e</w:t>
      </w:r>
      <w:r w:rsidR="00790A2F" w:rsidRPr="00790A2F">
        <w:rPr>
          <w:rFonts w:ascii="Times New Roman" w:eastAsia="Times New Roman" w:hAnsi="Times New Roman" w:cs="Times New Roman"/>
          <w:spacing w:val="-2"/>
          <w:sz w:val="22"/>
          <w:szCs w:val="22"/>
          <w:lang w:val="pl-PL"/>
        </w:rPr>
        <w:t>s</w:t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>t</w:t>
      </w:r>
      <w:r w:rsidR="00790A2F" w:rsidRPr="00790A2F">
        <w:rPr>
          <w:rFonts w:ascii="Times New Roman" w:eastAsia="Times New Roman" w:hAnsi="Times New Roman" w:cs="Times New Roman"/>
          <w:spacing w:val="1"/>
          <w:sz w:val="22"/>
          <w:szCs w:val="22"/>
          <w:lang w:val="pl-PL"/>
        </w:rPr>
        <w:t xml:space="preserve"> </w:t>
      </w:r>
      <w:r w:rsidR="00790A2F" w:rsidRPr="00790A2F">
        <w:rPr>
          <w:rFonts w:ascii="Times New Roman" w:eastAsia="Times New Roman" w:hAnsi="Times New Roman" w:cs="Times New Roman"/>
          <w:spacing w:val="-1"/>
          <w:sz w:val="22"/>
          <w:szCs w:val="22"/>
          <w:lang w:val="pl-PL"/>
        </w:rPr>
        <w:t>w</w:t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>s</w:t>
      </w:r>
      <w:r w:rsidR="00790A2F" w:rsidRPr="00790A2F">
        <w:rPr>
          <w:rFonts w:ascii="Times New Roman" w:eastAsia="Times New Roman" w:hAnsi="Times New Roman" w:cs="Times New Roman"/>
          <w:spacing w:val="-2"/>
          <w:sz w:val="22"/>
          <w:szCs w:val="22"/>
          <w:lang w:val="pl-PL"/>
        </w:rPr>
        <w:t>ka</w:t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>zany w</w:t>
      </w:r>
      <w:r w:rsidR="00790A2F" w:rsidRPr="00790A2F">
        <w:rPr>
          <w:rFonts w:ascii="Times New Roman" w:eastAsia="Times New Roman" w:hAnsi="Times New Roman" w:cs="Times New Roman"/>
          <w:spacing w:val="-1"/>
          <w:sz w:val="22"/>
          <w:szCs w:val="22"/>
          <w:lang w:val="pl-PL"/>
        </w:rPr>
        <w:t xml:space="preserve"> l</w:t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>ec</w:t>
      </w:r>
      <w:r w:rsidR="00790A2F" w:rsidRPr="00790A2F">
        <w:rPr>
          <w:rFonts w:ascii="Times New Roman" w:eastAsia="Times New Roman" w:hAnsi="Times New Roman" w:cs="Times New Roman"/>
          <w:spacing w:val="-2"/>
          <w:sz w:val="22"/>
          <w:szCs w:val="22"/>
          <w:lang w:val="pl-PL"/>
        </w:rPr>
        <w:t>z</w:t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>en</w:t>
      </w:r>
      <w:r w:rsidR="00790A2F" w:rsidRPr="00790A2F">
        <w:rPr>
          <w:rFonts w:ascii="Times New Roman" w:eastAsia="Times New Roman" w:hAnsi="Times New Roman" w:cs="Times New Roman"/>
          <w:spacing w:val="-1"/>
          <w:sz w:val="22"/>
          <w:szCs w:val="22"/>
          <w:lang w:val="pl-PL"/>
        </w:rPr>
        <w:t>i</w:t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>u na</w:t>
      </w:r>
      <w:r w:rsidR="00790A2F" w:rsidRPr="00790A2F">
        <w:rPr>
          <w:rFonts w:ascii="Times New Roman" w:eastAsia="Times New Roman" w:hAnsi="Times New Roman" w:cs="Times New Roman"/>
          <w:spacing w:val="-1"/>
          <w:sz w:val="22"/>
          <w:szCs w:val="22"/>
          <w:lang w:val="pl-PL"/>
        </w:rPr>
        <w:t>w</w:t>
      </w:r>
      <w:r w:rsidR="00790A2F" w:rsidRPr="00790A2F">
        <w:rPr>
          <w:rFonts w:ascii="Times New Roman" w:eastAsia="Times New Roman" w:hAnsi="Times New Roman" w:cs="Times New Roman"/>
          <w:spacing w:val="-2"/>
          <w:sz w:val="22"/>
          <w:szCs w:val="22"/>
          <w:lang w:val="pl-PL"/>
        </w:rPr>
        <w:t>r</w:t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>o</w:t>
      </w:r>
      <w:r w:rsidR="00790A2F" w:rsidRPr="00790A2F">
        <w:rPr>
          <w:rFonts w:ascii="Times New Roman" w:eastAsia="Times New Roman" w:hAnsi="Times New Roman" w:cs="Times New Roman"/>
          <w:spacing w:val="1"/>
          <w:sz w:val="22"/>
          <w:szCs w:val="22"/>
          <w:lang w:val="pl-PL"/>
        </w:rPr>
        <w:t>t</w:t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>o</w:t>
      </w:r>
      <w:r w:rsidR="00790A2F" w:rsidRPr="00790A2F">
        <w:rPr>
          <w:rFonts w:ascii="Times New Roman" w:eastAsia="Times New Roman" w:hAnsi="Times New Roman" w:cs="Times New Roman"/>
          <w:spacing w:val="-1"/>
          <w:sz w:val="22"/>
          <w:szCs w:val="22"/>
          <w:lang w:val="pl-PL"/>
        </w:rPr>
        <w:t>w</w:t>
      </w:r>
      <w:r w:rsidR="00790A2F" w:rsidRPr="00790A2F">
        <w:rPr>
          <w:rFonts w:ascii="Times New Roman" w:eastAsia="Times New Roman" w:hAnsi="Times New Roman" w:cs="Times New Roman"/>
          <w:spacing w:val="-2"/>
          <w:sz w:val="22"/>
          <w:szCs w:val="22"/>
          <w:lang w:val="pl-PL"/>
        </w:rPr>
        <w:t>e</w:t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>j</w:t>
      </w:r>
      <w:r w:rsidR="00790A2F" w:rsidRPr="00790A2F">
        <w:rPr>
          <w:rFonts w:ascii="Times New Roman" w:eastAsia="Times New Roman" w:hAnsi="Times New Roman" w:cs="Times New Roman"/>
          <w:spacing w:val="1"/>
          <w:sz w:val="22"/>
          <w:szCs w:val="22"/>
          <w:lang w:val="pl-PL"/>
        </w:rPr>
        <w:t xml:space="preserve"> </w:t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>op</w:t>
      </w:r>
      <w:r w:rsidR="00790A2F" w:rsidRPr="00790A2F">
        <w:rPr>
          <w:rFonts w:ascii="Times New Roman" w:eastAsia="Times New Roman" w:hAnsi="Times New Roman" w:cs="Times New Roman"/>
          <w:spacing w:val="-2"/>
          <w:sz w:val="22"/>
          <w:szCs w:val="22"/>
          <w:lang w:val="pl-PL"/>
        </w:rPr>
        <w:t>r</w:t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>ys</w:t>
      </w:r>
      <w:r w:rsidR="00790A2F" w:rsidRPr="00790A2F">
        <w:rPr>
          <w:rFonts w:ascii="Times New Roman" w:eastAsia="Times New Roman" w:hAnsi="Times New Roman" w:cs="Times New Roman"/>
          <w:spacing w:val="-2"/>
          <w:sz w:val="22"/>
          <w:szCs w:val="22"/>
          <w:lang w:val="pl-PL"/>
        </w:rPr>
        <w:t>z</w:t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>cz</w:t>
      </w:r>
      <w:r w:rsidR="00790A2F" w:rsidRPr="00790A2F">
        <w:rPr>
          <w:rFonts w:ascii="Times New Roman" w:eastAsia="Times New Roman" w:hAnsi="Times New Roman" w:cs="Times New Roman"/>
          <w:spacing w:val="-2"/>
          <w:sz w:val="22"/>
          <w:szCs w:val="22"/>
          <w:lang w:val="pl-PL"/>
        </w:rPr>
        <w:t>k</w:t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>i</w:t>
      </w:r>
      <w:r w:rsidR="00790A2F" w:rsidRPr="00790A2F">
        <w:rPr>
          <w:rFonts w:ascii="Times New Roman" w:eastAsia="Times New Roman" w:hAnsi="Times New Roman" w:cs="Times New Roman"/>
          <w:spacing w:val="1"/>
          <w:sz w:val="22"/>
          <w:szCs w:val="22"/>
          <w:lang w:val="pl-PL"/>
        </w:rPr>
        <w:t xml:space="preserve"> </w:t>
      </w:r>
      <w:r w:rsidR="00790A2F" w:rsidRPr="00790A2F">
        <w:rPr>
          <w:rFonts w:ascii="Times New Roman" w:eastAsia="Times New Roman" w:hAnsi="Times New Roman" w:cs="Times New Roman"/>
          <w:spacing w:val="-1"/>
          <w:sz w:val="22"/>
          <w:szCs w:val="22"/>
          <w:lang w:val="pl-PL"/>
        </w:rPr>
        <w:t>w</w:t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>a</w:t>
      </w:r>
      <w:r w:rsidR="00790A2F" w:rsidRPr="00790A2F">
        <w:rPr>
          <w:rFonts w:ascii="Times New Roman" w:eastAsia="Times New Roman" w:hAnsi="Times New Roman" w:cs="Times New Roman"/>
          <w:spacing w:val="1"/>
          <w:sz w:val="22"/>
          <w:szCs w:val="22"/>
          <w:lang w:val="pl-PL"/>
        </w:rPr>
        <w:t>r</w:t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>g</w:t>
      </w:r>
      <w:r w:rsidR="00790A2F" w:rsidRPr="00790A2F">
        <w:rPr>
          <w:rFonts w:ascii="Times New Roman" w:eastAsia="Times New Roman" w:hAnsi="Times New Roman" w:cs="Times New Roman"/>
          <w:spacing w:val="-3"/>
          <w:sz w:val="22"/>
          <w:szCs w:val="22"/>
          <w:lang w:val="pl-PL"/>
        </w:rPr>
        <w:t xml:space="preserve"> </w:t>
      </w:r>
      <w:r w:rsidR="006A0848">
        <w:rPr>
          <w:rFonts w:ascii="Times New Roman" w:eastAsia="Times New Roman" w:hAnsi="Times New Roman" w:cs="Times New Roman"/>
          <w:spacing w:val="-3"/>
          <w:sz w:val="22"/>
          <w:szCs w:val="22"/>
          <w:lang w:val="pl-PL"/>
        </w:rPr>
        <w:br/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 xml:space="preserve">i </w:t>
      </w:r>
      <w:r w:rsidR="00790A2F" w:rsidRPr="00790A2F">
        <w:rPr>
          <w:rFonts w:ascii="Times New Roman" w:eastAsia="Times New Roman" w:hAnsi="Times New Roman" w:cs="Times New Roman"/>
          <w:spacing w:val="1"/>
          <w:sz w:val="22"/>
          <w:szCs w:val="22"/>
          <w:lang w:val="pl-PL"/>
        </w:rPr>
        <w:t>t</w:t>
      </w:r>
      <w:r w:rsidR="00790A2F" w:rsidRPr="00790A2F">
        <w:rPr>
          <w:rFonts w:ascii="Times New Roman" w:eastAsia="Times New Roman" w:hAnsi="Times New Roman" w:cs="Times New Roman"/>
          <w:spacing w:val="-1"/>
          <w:sz w:val="22"/>
          <w:szCs w:val="22"/>
          <w:lang w:val="pl-PL"/>
        </w:rPr>
        <w:t>w</w:t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>a</w:t>
      </w:r>
      <w:r w:rsidR="00790A2F" w:rsidRPr="00790A2F">
        <w:rPr>
          <w:rFonts w:ascii="Times New Roman" w:eastAsia="Times New Roman" w:hAnsi="Times New Roman" w:cs="Times New Roman"/>
          <w:spacing w:val="1"/>
          <w:sz w:val="22"/>
          <w:szCs w:val="22"/>
          <w:lang w:val="pl-PL"/>
        </w:rPr>
        <w:t>r</w:t>
      </w:r>
      <w:r w:rsidR="00790A2F" w:rsidRPr="00790A2F">
        <w:rPr>
          <w:rFonts w:ascii="Times New Roman" w:eastAsia="Times New Roman" w:hAnsi="Times New Roman" w:cs="Times New Roman"/>
          <w:spacing w:val="-2"/>
          <w:sz w:val="22"/>
          <w:szCs w:val="22"/>
          <w:lang w:val="pl-PL"/>
        </w:rPr>
        <w:t>z</w:t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 xml:space="preserve">y, </w:t>
      </w:r>
      <w:r w:rsidR="00790A2F" w:rsidRPr="00790A2F">
        <w:rPr>
          <w:rFonts w:ascii="Times New Roman" w:eastAsia="Times New Roman" w:hAnsi="Times New Roman" w:cs="Times New Roman"/>
          <w:spacing w:val="-1"/>
          <w:sz w:val="22"/>
          <w:szCs w:val="22"/>
          <w:lang w:val="pl-PL"/>
        </w:rPr>
        <w:t>w</w:t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>y</w:t>
      </w:r>
      <w:r w:rsidR="00790A2F" w:rsidRPr="00790A2F">
        <w:rPr>
          <w:rFonts w:ascii="Times New Roman" w:eastAsia="Times New Roman" w:hAnsi="Times New Roman" w:cs="Times New Roman"/>
          <w:spacing w:val="-1"/>
          <w:sz w:val="22"/>
          <w:szCs w:val="22"/>
          <w:lang w:val="pl-PL"/>
        </w:rPr>
        <w:t>w</w:t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>o</w:t>
      </w:r>
      <w:r w:rsidR="00790A2F" w:rsidRPr="00790A2F">
        <w:rPr>
          <w:rFonts w:ascii="Times New Roman" w:eastAsia="Times New Roman" w:hAnsi="Times New Roman" w:cs="Times New Roman"/>
          <w:spacing w:val="-1"/>
          <w:sz w:val="22"/>
          <w:szCs w:val="22"/>
          <w:lang w:val="pl-PL"/>
        </w:rPr>
        <w:t>ł</w:t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>an</w:t>
      </w:r>
      <w:r w:rsidR="00790A2F" w:rsidRPr="00790A2F">
        <w:rPr>
          <w:rFonts w:ascii="Times New Roman" w:eastAsia="Times New Roman" w:hAnsi="Times New Roman" w:cs="Times New Roman"/>
          <w:spacing w:val="-2"/>
          <w:sz w:val="22"/>
          <w:szCs w:val="22"/>
          <w:lang w:val="pl-PL"/>
        </w:rPr>
        <w:t>e</w:t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>j</w:t>
      </w:r>
      <w:r w:rsidR="00790A2F" w:rsidRPr="00790A2F">
        <w:rPr>
          <w:rFonts w:ascii="Times New Roman" w:eastAsia="Times New Roman" w:hAnsi="Times New Roman" w:cs="Times New Roman"/>
          <w:spacing w:val="1"/>
          <w:sz w:val="22"/>
          <w:szCs w:val="22"/>
          <w:lang w:val="pl-PL"/>
        </w:rPr>
        <w:t xml:space="preserve"> </w:t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>p</w:t>
      </w:r>
      <w:r w:rsidR="00790A2F" w:rsidRPr="00790A2F">
        <w:rPr>
          <w:rFonts w:ascii="Times New Roman" w:eastAsia="Times New Roman" w:hAnsi="Times New Roman" w:cs="Times New Roman"/>
          <w:spacing w:val="-2"/>
          <w:sz w:val="22"/>
          <w:szCs w:val="22"/>
          <w:lang w:val="pl-PL"/>
        </w:rPr>
        <w:t>r</w:t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>zez</w:t>
      </w:r>
      <w:r w:rsidR="00790A2F" w:rsidRPr="00790A2F">
        <w:rPr>
          <w:rFonts w:ascii="Times New Roman" w:eastAsia="Times New Roman" w:hAnsi="Times New Roman" w:cs="Times New Roman"/>
          <w:spacing w:val="1"/>
          <w:sz w:val="22"/>
          <w:szCs w:val="22"/>
          <w:lang w:val="pl-PL"/>
        </w:rPr>
        <w:t xml:space="preserve"> </w:t>
      </w:r>
      <w:r w:rsidR="00790A2F" w:rsidRPr="00790A2F">
        <w:rPr>
          <w:rFonts w:ascii="Times New Roman" w:eastAsia="Times New Roman" w:hAnsi="Times New Roman" w:cs="Times New Roman"/>
          <w:spacing w:val="-3"/>
          <w:sz w:val="22"/>
          <w:szCs w:val="22"/>
          <w:lang w:val="pl-PL"/>
        </w:rPr>
        <w:t>w</w:t>
      </w:r>
      <w:r w:rsidR="00790A2F" w:rsidRPr="00790A2F">
        <w:rPr>
          <w:rFonts w:ascii="Times New Roman" w:eastAsia="Times New Roman" w:hAnsi="Times New Roman" w:cs="Times New Roman"/>
          <w:spacing w:val="1"/>
          <w:sz w:val="22"/>
          <w:szCs w:val="22"/>
          <w:lang w:val="pl-PL"/>
        </w:rPr>
        <w:t>ir</w:t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>u</w:t>
      </w:r>
      <w:r w:rsidR="00790A2F" w:rsidRPr="00790A2F">
        <w:rPr>
          <w:rFonts w:ascii="Times New Roman" w:eastAsia="Times New Roman" w:hAnsi="Times New Roman" w:cs="Times New Roman"/>
          <w:spacing w:val="-2"/>
          <w:sz w:val="22"/>
          <w:szCs w:val="22"/>
          <w:lang w:val="pl-PL"/>
        </w:rPr>
        <w:t>s</w:t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>a</w:t>
      </w:r>
      <w:r w:rsidR="00790A2F" w:rsidRPr="00790A2F">
        <w:rPr>
          <w:rFonts w:ascii="Times New Roman" w:eastAsia="Times New Roman" w:hAnsi="Times New Roman" w:cs="Times New Roman"/>
          <w:spacing w:val="1"/>
          <w:sz w:val="22"/>
          <w:szCs w:val="22"/>
          <w:lang w:val="pl-PL"/>
        </w:rPr>
        <w:t xml:space="preserve"> </w:t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>o</w:t>
      </w:r>
      <w:r w:rsidR="00790A2F" w:rsidRPr="00790A2F">
        <w:rPr>
          <w:rFonts w:ascii="Times New Roman" w:eastAsia="Times New Roman" w:hAnsi="Times New Roman" w:cs="Times New Roman"/>
          <w:spacing w:val="-2"/>
          <w:sz w:val="22"/>
          <w:szCs w:val="22"/>
          <w:lang w:val="pl-PL"/>
        </w:rPr>
        <w:t>p</w:t>
      </w:r>
      <w:r w:rsidR="00790A2F" w:rsidRPr="00790A2F">
        <w:rPr>
          <w:rFonts w:ascii="Times New Roman" w:eastAsia="Times New Roman" w:hAnsi="Times New Roman" w:cs="Times New Roman"/>
          <w:spacing w:val="1"/>
          <w:sz w:val="22"/>
          <w:szCs w:val="22"/>
          <w:lang w:val="pl-PL"/>
        </w:rPr>
        <w:t>r</w:t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>y</w:t>
      </w:r>
      <w:r w:rsidR="00790A2F" w:rsidRPr="00790A2F">
        <w:rPr>
          <w:rFonts w:ascii="Times New Roman" w:eastAsia="Times New Roman" w:hAnsi="Times New Roman" w:cs="Times New Roman"/>
          <w:spacing w:val="1"/>
          <w:sz w:val="22"/>
          <w:szCs w:val="22"/>
          <w:lang w:val="pl-PL"/>
        </w:rPr>
        <w:t>s</w:t>
      </w:r>
      <w:r w:rsidR="00790A2F" w:rsidRPr="00790A2F">
        <w:rPr>
          <w:rFonts w:ascii="Times New Roman" w:eastAsia="Times New Roman" w:hAnsi="Times New Roman" w:cs="Times New Roman"/>
          <w:spacing w:val="-2"/>
          <w:sz w:val="22"/>
          <w:szCs w:val="22"/>
          <w:lang w:val="pl-PL"/>
        </w:rPr>
        <w:t>z</w:t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>cz</w:t>
      </w:r>
      <w:r w:rsidR="00790A2F" w:rsidRPr="00790A2F">
        <w:rPr>
          <w:rFonts w:ascii="Times New Roman" w:eastAsia="Times New Roman" w:hAnsi="Times New Roman" w:cs="Times New Roman"/>
          <w:spacing w:val="-2"/>
          <w:sz w:val="22"/>
          <w:szCs w:val="22"/>
          <w:lang w:val="pl-PL"/>
        </w:rPr>
        <w:t>k</w:t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>i</w:t>
      </w:r>
      <w:r w:rsidR="00790A2F" w:rsidRPr="00790A2F">
        <w:rPr>
          <w:rFonts w:ascii="Times New Roman" w:eastAsia="Times New Roman" w:hAnsi="Times New Roman" w:cs="Times New Roman"/>
          <w:spacing w:val="1"/>
          <w:sz w:val="22"/>
          <w:szCs w:val="22"/>
          <w:lang w:val="pl-PL"/>
        </w:rPr>
        <w:t xml:space="preserve"> </w:t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>p</w:t>
      </w:r>
      <w:r w:rsidR="00790A2F" w:rsidRPr="00790A2F">
        <w:rPr>
          <w:rFonts w:ascii="Times New Roman" w:eastAsia="Times New Roman" w:hAnsi="Times New Roman" w:cs="Times New Roman"/>
          <w:spacing w:val="-2"/>
          <w:sz w:val="22"/>
          <w:szCs w:val="22"/>
          <w:lang w:val="pl-PL"/>
        </w:rPr>
        <w:t>o</w:t>
      </w:r>
      <w:r w:rsidR="00790A2F" w:rsidRPr="00790A2F">
        <w:rPr>
          <w:rFonts w:ascii="Times New Roman" w:eastAsia="Times New Roman" w:hAnsi="Times New Roman" w:cs="Times New Roman"/>
          <w:spacing w:val="1"/>
          <w:sz w:val="22"/>
          <w:szCs w:val="22"/>
          <w:lang w:val="pl-PL"/>
        </w:rPr>
        <w:t>s</w:t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>po</w:t>
      </w:r>
      <w:r w:rsidR="00790A2F" w:rsidRPr="00790A2F">
        <w:rPr>
          <w:rFonts w:ascii="Times New Roman" w:eastAsia="Times New Roman" w:hAnsi="Times New Roman" w:cs="Times New Roman"/>
          <w:spacing w:val="-1"/>
          <w:sz w:val="22"/>
          <w:szCs w:val="22"/>
          <w:lang w:val="pl-PL"/>
        </w:rPr>
        <w:t>l</w:t>
      </w:r>
      <w:r w:rsidR="00790A2F" w:rsidRPr="00790A2F">
        <w:rPr>
          <w:rFonts w:ascii="Times New Roman" w:eastAsia="Times New Roman" w:hAnsi="Times New Roman" w:cs="Times New Roman"/>
          <w:spacing w:val="1"/>
          <w:sz w:val="22"/>
          <w:szCs w:val="22"/>
          <w:lang w:val="pl-PL"/>
        </w:rPr>
        <w:t>i</w:t>
      </w:r>
      <w:r w:rsidR="00790A2F" w:rsidRPr="00790A2F">
        <w:rPr>
          <w:rFonts w:ascii="Times New Roman" w:eastAsia="Times New Roman" w:hAnsi="Times New Roman" w:cs="Times New Roman"/>
          <w:spacing w:val="-1"/>
          <w:sz w:val="22"/>
          <w:szCs w:val="22"/>
          <w:lang w:val="pl-PL"/>
        </w:rPr>
        <w:t>t</w:t>
      </w:r>
      <w:r w:rsidR="00790A2F" w:rsidRPr="00790A2F">
        <w:rPr>
          <w:rFonts w:ascii="Times New Roman" w:eastAsia="Times New Roman" w:hAnsi="Times New Roman" w:cs="Times New Roman"/>
          <w:sz w:val="22"/>
          <w:szCs w:val="22"/>
          <w:lang w:val="pl-PL"/>
        </w:rPr>
        <w:t>ej</w:t>
      </w:r>
      <w:r w:rsidR="00790A2F" w:rsidRPr="00790A2F">
        <w:rPr>
          <w:rFonts w:ascii="Times New Roman" w:eastAsia="Times New Roman" w:hAnsi="Times New Roman" w:cs="Times New Roman"/>
          <w:spacing w:val="-1"/>
          <w:sz w:val="22"/>
          <w:szCs w:val="22"/>
          <w:lang w:val="pl-PL"/>
        </w:rPr>
        <w:t xml:space="preserve"> </w:t>
      </w:r>
      <w:proofErr w:type="spellStart"/>
      <w:r w:rsidR="00790A2F" w:rsidRPr="00790A2F">
        <w:rPr>
          <w:rFonts w:ascii="Times New Roman" w:eastAsia="Times New Roman" w:hAnsi="Times New Roman" w:cs="Times New Roman"/>
          <w:i/>
          <w:spacing w:val="-1"/>
          <w:sz w:val="22"/>
          <w:szCs w:val="22"/>
          <w:lang w:val="pl-PL"/>
        </w:rPr>
        <w:t>H</w:t>
      </w:r>
      <w:r w:rsidR="00790A2F" w:rsidRPr="00790A2F">
        <w:rPr>
          <w:rFonts w:ascii="Times New Roman" w:eastAsia="Times New Roman" w:hAnsi="Times New Roman" w:cs="Times New Roman"/>
          <w:i/>
          <w:sz w:val="22"/>
          <w:szCs w:val="22"/>
          <w:lang w:val="pl-PL"/>
        </w:rPr>
        <w:t>erpes</w:t>
      </w:r>
      <w:proofErr w:type="spellEnd"/>
      <w:r w:rsidR="00790A2F" w:rsidRPr="00790A2F">
        <w:rPr>
          <w:rFonts w:ascii="Times New Roman" w:eastAsia="Times New Roman" w:hAnsi="Times New Roman" w:cs="Times New Roman"/>
          <w:i/>
          <w:spacing w:val="-2"/>
          <w:sz w:val="22"/>
          <w:szCs w:val="22"/>
          <w:lang w:val="pl-PL"/>
        </w:rPr>
        <w:t xml:space="preserve"> </w:t>
      </w:r>
      <w:proofErr w:type="spellStart"/>
      <w:r w:rsidR="00790A2F" w:rsidRPr="00790A2F">
        <w:rPr>
          <w:rFonts w:ascii="Times New Roman" w:eastAsia="Times New Roman" w:hAnsi="Times New Roman" w:cs="Times New Roman"/>
          <w:i/>
          <w:sz w:val="22"/>
          <w:szCs w:val="22"/>
          <w:lang w:val="pl-PL"/>
        </w:rPr>
        <w:t>s</w:t>
      </w:r>
      <w:r w:rsidR="00790A2F" w:rsidRPr="00790A2F">
        <w:rPr>
          <w:rFonts w:ascii="Times New Roman" w:eastAsia="Times New Roman" w:hAnsi="Times New Roman" w:cs="Times New Roman"/>
          <w:i/>
          <w:spacing w:val="1"/>
          <w:sz w:val="22"/>
          <w:szCs w:val="22"/>
          <w:lang w:val="pl-PL"/>
        </w:rPr>
        <w:t>i</w:t>
      </w:r>
      <w:r w:rsidR="00790A2F" w:rsidRPr="00790A2F">
        <w:rPr>
          <w:rFonts w:ascii="Times New Roman" w:eastAsia="Times New Roman" w:hAnsi="Times New Roman" w:cs="Times New Roman"/>
          <w:i/>
          <w:spacing w:val="-1"/>
          <w:sz w:val="22"/>
          <w:szCs w:val="22"/>
          <w:lang w:val="pl-PL"/>
        </w:rPr>
        <w:t>m</w:t>
      </w:r>
      <w:r w:rsidR="00790A2F" w:rsidRPr="00790A2F">
        <w:rPr>
          <w:rFonts w:ascii="Times New Roman" w:eastAsia="Times New Roman" w:hAnsi="Times New Roman" w:cs="Times New Roman"/>
          <w:i/>
          <w:spacing w:val="-2"/>
          <w:sz w:val="22"/>
          <w:szCs w:val="22"/>
          <w:lang w:val="pl-PL"/>
        </w:rPr>
        <w:t>p</w:t>
      </w:r>
      <w:r w:rsidR="00790A2F" w:rsidRPr="00790A2F">
        <w:rPr>
          <w:rFonts w:ascii="Times New Roman" w:eastAsia="Times New Roman" w:hAnsi="Times New Roman" w:cs="Times New Roman"/>
          <w:i/>
          <w:spacing w:val="1"/>
          <w:sz w:val="22"/>
          <w:szCs w:val="22"/>
          <w:lang w:val="pl-PL"/>
        </w:rPr>
        <w:t>l</w:t>
      </w:r>
      <w:r w:rsidR="00790A2F" w:rsidRPr="00790A2F">
        <w:rPr>
          <w:rFonts w:ascii="Times New Roman" w:eastAsia="Times New Roman" w:hAnsi="Times New Roman" w:cs="Times New Roman"/>
          <w:i/>
          <w:sz w:val="22"/>
          <w:szCs w:val="22"/>
          <w:lang w:val="pl-PL"/>
        </w:rPr>
        <w:t>e</w:t>
      </w:r>
      <w:r w:rsidR="00790A2F" w:rsidRPr="00790A2F">
        <w:rPr>
          <w:rFonts w:ascii="Times New Roman" w:eastAsia="Times New Roman" w:hAnsi="Times New Roman" w:cs="Times New Roman"/>
          <w:i/>
          <w:spacing w:val="1"/>
          <w:sz w:val="22"/>
          <w:szCs w:val="22"/>
          <w:lang w:val="pl-PL"/>
        </w:rPr>
        <w:t>x</w:t>
      </w:r>
      <w:proofErr w:type="spellEnd"/>
      <w:r w:rsidRPr="00790A2F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8667C2" w:rsidRPr="00526B0D">
        <w:rPr>
          <w:rFonts w:ascii="Times New Roman" w:hAnsi="Times New Roman" w:cs="Times New Roman"/>
          <w:sz w:val="22"/>
          <w:szCs w:val="22"/>
          <w:lang w:val="pl-PL"/>
        </w:rPr>
        <w:t xml:space="preserve">(patrz Charakterystyka produktu leczniczego w celu uzyskania pełnych wskazań). Produkt leczniczy zawiera </w:t>
      </w:r>
      <w:proofErr w:type="spellStart"/>
      <w:r>
        <w:rPr>
          <w:rFonts w:ascii="Times New Roman" w:hAnsi="Times New Roman" w:cs="Times New Roman"/>
          <w:sz w:val="22"/>
          <w:szCs w:val="22"/>
          <w:lang w:val="pl-PL"/>
        </w:rPr>
        <w:t>acyklowir</w:t>
      </w:r>
      <w:proofErr w:type="spellEnd"/>
      <w:r w:rsidR="008667C2" w:rsidRPr="00526B0D">
        <w:rPr>
          <w:rFonts w:ascii="Times New Roman" w:hAnsi="Times New Roman" w:cs="Times New Roman"/>
          <w:sz w:val="22"/>
          <w:szCs w:val="22"/>
          <w:lang w:val="pl-PL"/>
        </w:rPr>
        <w:t xml:space="preserve"> jako substancję czynną,</w:t>
      </w:r>
      <w:r w:rsidR="00A77802" w:rsidRPr="00526B0D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8667C2" w:rsidRPr="00526B0D">
        <w:rPr>
          <w:rFonts w:ascii="Times New Roman" w:hAnsi="Times New Roman" w:cs="Times New Roman"/>
          <w:sz w:val="22"/>
          <w:szCs w:val="22"/>
          <w:lang w:val="pl-PL"/>
        </w:rPr>
        <w:t xml:space="preserve">podawany jest </w:t>
      </w:r>
      <w:r w:rsidR="00536D14">
        <w:rPr>
          <w:rFonts w:ascii="Times New Roman" w:hAnsi="Times New Roman" w:cs="Times New Roman"/>
          <w:sz w:val="22"/>
          <w:szCs w:val="22"/>
          <w:lang w:val="pl-PL"/>
        </w:rPr>
        <w:t xml:space="preserve">miejscowo </w:t>
      </w:r>
      <w:r>
        <w:rPr>
          <w:rFonts w:ascii="Times New Roman" w:hAnsi="Times New Roman" w:cs="Times New Roman"/>
          <w:sz w:val="22"/>
          <w:szCs w:val="22"/>
          <w:lang w:val="pl-PL"/>
        </w:rPr>
        <w:t xml:space="preserve">w postaci kremu, </w:t>
      </w:r>
      <w:r w:rsidR="00D41F79">
        <w:rPr>
          <w:rFonts w:ascii="Times New Roman" w:hAnsi="Times New Roman" w:cs="Times New Roman"/>
          <w:sz w:val="22"/>
          <w:szCs w:val="22"/>
          <w:lang w:val="pl-PL"/>
        </w:rPr>
        <w:t>50 </w:t>
      </w:r>
      <w:r>
        <w:rPr>
          <w:rFonts w:ascii="Times New Roman" w:hAnsi="Times New Roman" w:cs="Times New Roman"/>
          <w:sz w:val="22"/>
          <w:szCs w:val="22"/>
          <w:lang w:val="pl-PL"/>
        </w:rPr>
        <w:t>mg/g</w:t>
      </w:r>
      <w:r w:rsidR="008667C2" w:rsidRPr="00526B0D">
        <w:rPr>
          <w:rFonts w:ascii="Times New Roman" w:hAnsi="Times New Roman" w:cs="Times New Roman"/>
          <w:i/>
          <w:color w:val="008000"/>
          <w:sz w:val="22"/>
          <w:szCs w:val="22"/>
          <w:lang w:val="pl-PL"/>
        </w:rPr>
        <w:t>.</w:t>
      </w:r>
    </w:p>
    <w:p w14:paraId="5E7860C2" w14:textId="77777777" w:rsidR="00526B0D" w:rsidRPr="00526B0D" w:rsidRDefault="00526B0D" w:rsidP="00526B0D">
      <w:pPr>
        <w:pStyle w:val="BodytextAgency"/>
        <w:jc w:val="both"/>
        <w:rPr>
          <w:rFonts w:ascii="Times New Roman" w:hAnsi="Times New Roman" w:cs="Times New Roman"/>
          <w:sz w:val="22"/>
          <w:szCs w:val="22"/>
          <w:lang w:val="pl-PL"/>
        </w:rPr>
      </w:pPr>
    </w:p>
    <w:p w14:paraId="4B24CABE" w14:textId="038CF014" w:rsidR="002D5BF9" w:rsidRPr="00A77802" w:rsidRDefault="002D5BF9" w:rsidP="00526B0D">
      <w:pPr>
        <w:pStyle w:val="BodytextAgency"/>
        <w:rPr>
          <w:rFonts w:ascii="Times New Roman" w:hAnsi="Times New Roman" w:cs="Times New Roman"/>
          <w:b/>
          <w:sz w:val="22"/>
          <w:szCs w:val="22"/>
          <w:lang w:val="pl-PL"/>
        </w:rPr>
      </w:pPr>
      <w:r w:rsidRPr="00A77802">
        <w:rPr>
          <w:rFonts w:ascii="Times New Roman" w:hAnsi="Times New Roman" w:cs="Times New Roman"/>
          <w:b/>
          <w:sz w:val="22"/>
          <w:szCs w:val="22"/>
          <w:lang w:val="pl-PL"/>
        </w:rPr>
        <w:t>II. Ryzyka związane z lekiem i aktywności wykonywane w celu zminimalizowania lub dalszego scharakteryzowania zagrożeń</w:t>
      </w:r>
    </w:p>
    <w:p w14:paraId="5D82B3D0" w14:textId="4CCBA100" w:rsidR="00BC442E" w:rsidRPr="00A77802" w:rsidRDefault="00BC442E" w:rsidP="00BC442E">
      <w:pPr>
        <w:pStyle w:val="BodytextAgency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77802">
        <w:rPr>
          <w:rFonts w:ascii="Times New Roman" w:hAnsi="Times New Roman" w:cs="Times New Roman"/>
          <w:sz w:val="22"/>
          <w:szCs w:val="22"/>
          <w:lang w:val="pl-PL"/>
        </w:rPr>
        <w:t xml:space="preserve">Istotne ryzyka produktu leczniczego </w:t>
      </w:r>
      <w:proofErr w:type="spellStart"/>
      <w:r w:rsidR="009C1EDC">
        <w:rPr>
          <w:rFonts w:ascii="Times New Roman" w:hAnsi="Times New Roman" w:cs="Times New Roman"/>
          <w:sz w:val="22"/>
          <w:szCs w:val="22"/>
          <w:lang w:val="pl-PL"/>
        </w:rPr>
        <w:t>Devir</w:t>
      </w:r>
      <w:proofErr w:type="spellEnd"/>
      <w:r w:rsidRPr="00A77802">
        <w:rPr>
          <w:rFonts w:ascii="Times New Roman" w:hAnsi="Times New Roman" w:cs="Times New Roman"/>
          <w:sz w:val="22"/>
          <w:szCs w:val="22"/>
          <w:lang w:val="pl-PL"/>
        </w:rPr>
        <w:t xml:space="preserve">, łącznie z działaniami podejmowanymi w celu zmniejszenia tych ryzyk i propozycje badań umożliwiających lepsze poznanie zagrożeń związanych ze stosowaniem produktu leczniczego </w:t>
      </w:r>
      <w:proofErr w:type="spellStart"/>
      <w:r w:rsidR="009C1EDC">
        <w:rPr>
          <w:rFonts w:ascii="Times New Roman" w:hAnsi="Times New Roman" w:cs="Times New Roman"/>
          <w:sz w:val="22"/>
          <w:szCs w:val="22"/>
          <w:lang w:val="pl-PL"/>
        </w:rPr>
        <w:t>Devir</w:t>
      </w:r>
      <w:proofErr w:type="spellEnd"/>
      <w:r w:rsidR="00526B0D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Pr="00A77802">
        <w:rPr>
          <w:rFonts w:ascii="Times New Roman" w:hAnsi="Times New Roman" w:cs="Times New Roman"/>
          <w:sz w:val="22"/>
          <w:szCs w:val="22"/>
          <w:lang w:val="pl-PL"/>
        </w:rPr>
        <w:t xml:space="preserve">wymieniono poniżej. </w:t>
      </w:r>
    </w:p>
    <w:p w14:paraId="7A3915C4" w14:textId="77777777" w:rsidR="00BC442E" w:rsidRPr="00A77802" w:rsidRDefault="00BC442E" w:rsidP="00BC442E">
      <w:pPr>
        <w:pStyle w:val="BodytextAgency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77802">
        <w:rPr>
          <w:rFonts w:ascii="Times New Roman" w:hAnsi="Times New Roman" w:cs="Times New Roman"/>
          <w:sz w:val="22"/>
          <w:szCs w:val="22"/>
          <w:lang w:val="pl-PL"/>
        </w:rPr>
        <w:t>Działania podejmowane w celu zmniejszenia ryzyka to:</w:t>
      </w:r>
    </w:p>
    <w:p w14:paraId="7B04ECEC" w14:textId="77777777" w:rsidR="00BC442E" w:rsidRPr="00A77802" w:rsidRDefault="00BC442E" w:rsidP="00A77802">
      <w:pPr>
        <w:pStyle w:val="BodytextAgency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77802">
        <w:rPr>
          <w:rFonts w:ascii="Times New Roman" w:hAnsi="Times New Roman" w:cs="Times New Roman"/>
          <w:sz w:val="22"/>
          <w:szCs w:val="22"/>
          <w:lang w:val="pl-PL"/>
        </w:rPr>
        <w:t>Specjalne informacje, takie jak ostrzeżenia i specjalne środki ostrożności, zalecenia odnoszące się do prawidłowego sposobu stosowania, zamieszczone w ulotce dla pacjenta, w Charakterystyce produktu leczniczego przeznaczonej dla osób wykonujących zawody medyczne;</w:t>
      </w:r>
    </w:p>
    <w:p w14:paraId="07020928" w14:textId="77777777" w:rsidR="00BC442E" w:rsidRPr="00A77802" w:rsidRDefault="00BC442E" w:rsidP="00A77802">
      <w:pPr>
        <w:pStyle w:val="BodytextAgency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77802">
        <w:rPr>
          <w:rFonts w:ascii="Times New Roman" w:hAnsi="Times New Roman" w:cs="Times New Roman"/>
          <w:sz w:val="22"/>
          <w:szCs w:val="22"/>
          <w:lang w:val="pl-PL"/>
        </w:rPr>
        <w:t>Ważne zalecenia zamieszczone na opakowaniu leku;</w:t>
      </w:r>
    </w:p>
    <w:p w14:paraId="7425FAE7" w14:textId="77777777" w:rsidR="00BC442E" w:rsidRPr="00A77802" w:rsidRDefault="00BC442E" w:rsidP="00A77802">
      <w:pPr>
        <w:pStyle w:val="BodytextAgency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77802">
        <w:rPr>
          <w:rFonts w:ascii="Times New Roman" w:hAnsi="Times New Roman" w:cs="Times New Roman"/>
          <w:sz w:val="22"/>
          <w:szCs w:val="22"/>
          <w:lang w:val="pl-PL"/>
        </w:rPr>
        <w:t>Zatwierdzenie odpowiedniej wielkości opakowania leku, zapewniające jego właściwe stosowanie;</w:t>
      </w:r>
    </w:p>
    <w:p w14:paraId="701752AC" w14:textId="77777777" w:rsidR="00BC442E" w:rsidRPr="00A77802" w:rsidRDefault="00BC442E" w:rsidP="00A77802">
      <w:pPr>
        <w:pStyle w:val="BodytextAgency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77802">
        <w:rPr>
          <w:rFonts w:ascii="Times New Roman" w:hAnsi="Times New Roman" w:cs="Times New Roman"/>
          <w:sz w:val="22"/>
          <w:szCs w:val="22"/>
          <w:lang w:val="pl-PL"/>
        </w:rPr>
        <w:t>Nadanie właściwej kategorii dostępności leku – sposób</w:t>
      </w:r>
      <w:r w:rsidR="00A77802">
        <w:rPr>
          <w:rFonts w:ascii="Times New Roman" w:hAnsi="Times New Roman" w:cs="Times New Roman"/>
          <w:sz w:val="22"/>
          <w:szCs w:val="22"/>
          <w:lang w:val="pl-PL"/>
        </w:rPr>
        <w:t>,</w:t>
      </w:r>
      <w:r w:rsidRPr="00A77802">
        <w:rPr>
          <w:rFonts w:ascii="Times New Roman" w:hAnsi="Times New Roman" w:cs="Times New Roman"/>
          <w:sz w:val="22"/>
          <w:szCs w:val="22"/>
          <w:lang w:val="pl-PL"/>
        </w:rPr>
        <w:t xml:space="preserve"> w jaki pacjent nabywa lek (np. z lub bez recepty) może zminimalizować ryzyko związane z jego stosowaniem.</w:t>
      </w:r>
    </w:p>
    <w:p w14:paraId="49CB79E9" w14:textId="77777777" w:rsidR="00BC442E" w:rsidRPr="00A77802" w:rsidRDefault="00BC442E" w:rsidP="00BC442E">
      <w:pPr>
        <w:pStyle w:val="BodytextAgency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77802">
        <w:rPr>
          <w:rFonts w:ascii="Times New Roman" w:hAnsi="Times New Roman" w:cs="Times New Roman"/>
          <w:sz w:val="22"/>
          <w:szCs w:val="22"/>
          <w:lang w:val="pl-PL"/>
        </w:rPr>
        <w:t>Wszystkie te działania to rutynowe środki minimalizacji ryzyka.</w:t>
      </w:r>
    </w:p>
    <w:p w14:paraId="0030382D" w14:textId="165F3834" w:rsidR="00BC442E" w:rsidRPr="00A77802" w:rsidRDefault="00BC442E" w:rsidP="00BC442E">
      <w:pPr>
        <w:pStyle w:val="BodytextAgency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77802">
        <w:rPr>
          <w:rFonts w:ascii="Times New Roman" w:hAnsi="Times New Roman" w:cs="Times New Roman"/>
          <w:sz w:val="22"/>
          <w:szCs w:val="22"/>
          <w:lang w:val="pl-PL"/>
        </w:rPr>
        <w:t xml:space="preserve">W uzupełnieniu do tych działań, regularnie gromadzi się i analizuje informacje o niepożądanych działaniach produktu leczniczego </w:t>
      </w:r>
      <w:proofErr w:type="spellStart"/>
      <w:r w:rsidR="009C1EDC">
        <w:rPr>
          <w:rFonts w:ascii="Times New Roman" w:hAnsi="Times New Roman" w:cs="Times New Roman"/>
          <w:sz w:val="22"/>
          <w:szCs w:val="22"/>
          <w:lang w:val="pl-PL"/>
        </w:rPr>
        <w:t>Devir</w:t>
      </w:r>
      <w:proofErr w:type="spellEnd"/>
      <w:r w:rsidRPr="00A77802">
        <w:rPr>
          <w:rFonts w:ascii="Times New Roman" w:hAnsi="Times New Roman" w:cs="Times New Roman"/>
          <w:sz w:val="22"/>
          <w:szCs w:val="22"/>
          <w:lang w:val="pl-PL"/>
        </w:rPr>
        <w:t>, aby w razie potrzeby niezwłocznie podjąć konieczne kroki. Działania te stanowią rutynowe aktywności nadzoru nad bezpieczeństwem farmakoterapii.</w:t>
      </w:r>
    </w:p>
    <w:p w14:paraId="54E7BB49" w14:textId="77777777" w:rsidR="00BC442E" w:rsidRPr="00A77802" w:rsidRDefault="00BC442E" w:rsidP="00BC442E">
      <w:pPr>
        <w:pStyle w:val="Heading2Agency"/>
        <w:numPr>
          <w:ilvl w:val="0"/>
          <w:numId w:val="0"/>
        </w:numPr>
        <w:jc w:val="both"/>
        <w:rPr>
          <w:rFonts w:ascii="Times New Roman" w:hAnsi="Times New Roman" w:cs="Times New Roman"/>
          <w:i w:val="0"/>
          <w:lang w:val="pl-PL"/>
        </w:rPr>
      </w:pPr>
      <w:bookmarkStart w:id="468" w:name="_Toc467844139"/>
      <w:bookmarkStart w:id="469" w:name="_Toc468294642"/>
      <w:bookmarkStart w:id="470" w:name="_Toc468365852"/>
      <w:bookmarkStart w:id="471" w:name="_Toc476237866"/>
      <w:bookmarkStart w:id="472" w:name="_Toc477774604"/>
      <w:bookmarkStart w:id="473" w:name="_Toc478109873"/>
      <w:bookmarkStart w:id="474" w:name="_Toc478546147"/>
      <w:bookmarkEnd w:id="468"/>
      <w:bookmarkEnd w:id="469"/>
      <w:bookmarkEnd w:id="470"/>
      <w:bookmarkEnd w:id="471"/>
      <w:bookmarkEnd w:id="472"/>
      <w:bookmarkEnd w:id="473"/>
      <w:r w:rsidRPr="00A77802">
        <w:rPr>
          <w:rFonts w:ascii="Times New Roman" w:hAnsi="Times New Roman" w:cs="Times New Roman"/>
          <w:i w:val="0"/>
          <w:lang w:val="pl-PL"/>
        </w:rPr>
        <w:lastRenderedPageBreak/>
        <w:t>II.A Lista istotnych zagrożeń i brakujących informacji</w:t>
      </w:r>
    </w:p>
    <w:bookmarkEnd w:id="474"/>
    <w:p w14:paraId="5908CE6A" w14:textId="2C550CEE" w:rsidR="00BC442E" w:rsidRPr="00A77802" w:rsidRDefault="00BC442E" w:rsidP="00DE03F7">
      <w:pPr>
        <w:pStyle w:val="BodytextAgency"/>
        <w:jc w:val="both"/>
        <w:rPr>
          <w:rFonts w:ascii="Times New Roman" w:hAnsi="Times New Roman" w:cs="Times New Roman"/>
          <w:iCs/>
          <w:sz w:val="22"/>
          <w:szCs w:val="22"/>
          <w:lang w:val="pl-PL"/>
        </w:rPr>
      </w:pPr>
      <w:r w:rsidRPr="00A77802">
        <w:rPr>
          <w:rFonts w:ascii="Times New Roman" w:hAnsi="Times New Roman" w:cs="Times New Roman"/>
          <w:iCs/>
          <w:sz w:val="22"/>
          <w:szCs w:val="22"/>
          <w:lang w:val="pl-PL"/>
        </w:rPr>
        <w:t xml:space="preserve">Istotne ryzyka związane ze stosowaniem produktu leczniczego </w:t>
      </w:r>
      <w:proofErr w:type="spellStart"/>
      <w:r w:rsidR="009C1EDC">
        <w:rPr>
          <w:rFonts w:ascii="Times New Roman" w:hAnsi="Times New Roman" w:cs="Times New Roman"/>
          <w:iCs/>
          <w:sz w:val="22"/>
          <w:szCs w:val="22"/>
          <w:lang w:val="pl-PL"/>
        </w:rPr>
        <w:t>Devir</w:t>
      </w:r>
      <w:proofErr w:type="spellEnd"/>
      <w:r w:rsidR="00526B0D">
        <w:rPr>
          <w:rFonts w:ascii="Times New Roman" w:hAnsi="Times New Roman" w:cs="Times New Roman"/>
          <w:iCs/>
          <w:sz w:val="22"/>
          <w:szCs w:val="22"/>
          <w:lang w:val="pl-PL"/>
        </w:rPr>
        <w:t xml:space="preserve"> </w:t>
      </w:r>
      <w:r w:rsidRPr="00A77802">
        <w:rPr>
          <w:rFonts w:ascii="Times New Roman" w:hAnsi="Times New Roman" w:cs="Times New Roman"/>
          <w:iCs/>
          <w:sz w:val="22"/>
          <w:szCs w:val="22"/>
          <w:lang w:val="pl-PL"/>
        </w:rPr>
        <w:t xml:space="preserve">to ryzyka, które wymagają specjalnych działań z zakresu zarządzania ryzykiem, w celu dalszego zbadania lub podjęcia kroków minimalizujących ryzyko, w taki </w:t>
      </w:r>
      <w:proofErr w:type="gramStart"/>
      <w:r w:rsidRPr="00A77802">
        <w:rPr>
          <w:rFonts w:ascii="Times New Roman" w:hAnsi="Times New Roman" w:cs="Times New Roman"/>
          <w:iCs/>
          <w:sz w:val="22"/>
          <w:szCs w:val="22"/>
          <w:lang w:val="pl-PL"/>
        </w:rPr>
        <w:t>sposób</w:t>
      </w:r>
      <w:proofErr w:type="gramEnd"/>
      <w:r w:rsidRPr="00A77802">
        <w:rPr>
          <w:rFonts w:ascii="Times New Roman" w:hAnsi="Times New Roman" w:cs="Times New Roman"/>
          <w:iCs/>
          <w:sz w:val="22"/>
          <w:szCs w:val="22"/>
          <w:lang w:val="pl-PL"/>
        </w:rPr>
        <w:t xml:space="preserve"> żeby produkt leczniczy mógł być bezpiecznie przyjmowany. Istotne ryzyka mogą odnosić się do ryzyka zidentyfikowanego lub potencjalnego. Zidentyfikowane ryzyka odnoszą się do sytuacji, w których w wystarczający sposób możemy udowodnić zależność ryzyka od stosowania produktu </w:t>
      </w:r>
      <w:proofErr w:type="spellStart"/>
      <w:r w:rsidR="009C1EDC">
        <w:rPr>
          <w:rFonts w:ascii="Times New Roman" w:hAnsi="Times New Roman" w:cs="Times New Roman"/>
          <w:iCs/>
          <w:sz w:val="22"/>
          <w:szCs w:val="22"/>
          <w:lang w:val="pl-PL"/>
        </w:rPr>
        <w:t>Devir</w:t>
      </w:r>
      <w:proofErr w:type="spellEnd"/>
      <w:r w:rsidRPr="00A77802">
        <w:rPr>
          <w:rFonts w:ascii="Times New Roman" w:hAnsi="Times New Roman" w:cs="Times New Roman"/>
          <w:iCs/>
          <w:sz w:val="22"/>
          <w:szCs w:val="22"/>
          <w:lang w:val="pl-PL"/>
        </w:rPr>
        <w:t xml:space="preserve">. Potencjalne ryzyka odnoszą się do sytuacji, w których związek zagrożenia ze stosowaniem leku jest oceniany jako możliwy, po wzięciu pod uwagę dostępnych danych, ale ten związek nie jest dotychczas w pełni ustalony i wymaga dalszej oceny. Brakujące informacje odnoszą się do informacji dotyczących bezpieczeństwa stosowania leku, których obecnie brakuje i wymagają zgromadzenia niezbędnych danych (np. dotyczące bezpieczeństwa podczas długotrwałego stosowania leku). </w:t>
      </w: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E0" w:firstRow="1" w:lastRow="1" w:firstColumn="1" w:lastColumn="1" w:noHBand="0" w:noVBand="1"/>
      </w:tblPr>
      <w:tblGrid>
        <w:gridCol w:w="2920"/>
        <w:gridCol w:w="5961"/>
      </w:tblGrid>
      <w:tr w:rsidR="002D5BF9" w:rsidRPr="00EC22A3" w14:paraId="539D248E" w14:textId="77777777" w:rsidTr="00F54909">
        <w:trPr>
          <w:tblHeader/>
          <w:jc w:val="center"/>
        </w:trPr>
        <w:tc>
          <w:tcPr>
            <w:tcW w:w="5000" w:type="pct"/>
            <w:gridSpan w:val="2"/>
          </w:tcPr>
          <w:p w14:paraId="41E39A24" w14:textId="77777777" w:rsidR="002D5BF9" w:rsidRPr="008A6342" w:rsidRDefault="002D5BF9" w:rsidP="00684F7B">
            <w:pPr>
              <w:keepNext/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pl-PL"/>
              </w:rPr>
            </w:pPr>
            <w:r w:rsidRPr="008A6342">
              <w:rPr>
                <w:rFonts w:ascii="Times New Roman" w:eastAsia="MS Mincho" w:hAnsi="Times New Roman" w:cs="Times New Roman"/>
                <w:b/>
                <w:sz w:val="22"/>
                <w:szCs w:val="22"/>
                <w:lang w:val="pl-PL" w:eastAsia="ja-JP"/>
              </w:rPr>
              <w:t xml:space="preserve">Lista </w:t>
            </w:r>
            <w:r w:rsidR="00684F7B" w:rsidRPr="008A6342">
              <w:rPr>
                <w:rFonts w:ascii="Times New Roman" w:eastAsia="MS Mincho" w:hAnsi="Times New Roman" w:cs="Times New Roman"/>
                <w:b/>
                <w:sz w:val="22"/>
                <w:szCs w:val="22"/>
                <w:lang w:val="pl-PL" w:eastAsia="ja-JP"/>
              </w:rPr>
              <w:t xml:space="preserve">istotnych </w:t>
            </w:r>
            <w:r w:rsidRPr="008A6342">
              <w:rPr>
                <w:rFonts w:ascii="Times New Roman" w:eastAsia="MS Mincho" w:hAnsi="Times New Roman" w:cs="Times New Roman"/>
                <w:b/>
                <w:sz w:val="22"/>
                <w:szCs w:val="22"/>
                <w:lang w:val="pl-PL" w:eastAsia="ja-JP"/>
              </w:rPr>
              <w:t>zagrożeń i brakujących informacji</w:t>
            </w:r>
          </w:p>
        </w:tc>
      </w:tr>
      <w:tr w:rsidR="002D5BF9" w:rsidRPr="00F67F4D" w14:paraId="7BF816BB" w14:textId="77777777" w:rsidTr="00F54909">
        <w:trPr>
          <w:jc w:val="center"/>
        </w:trPr>
        <w:tc>
          <w:tcPr>
            <w:tcW w:w="1644" w:type="pct"/>
          </w:tcPr>
          <w:p w14:paraId="4E902E62" w14:textId="77777777" w:rsidR="002D5BF9" w:rsidRPr="008A6342" w:rsidRDefault="00BC442E" w:rsidP="0039711B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val="pl-PL"/>
              </w:rPr>
            </w:pPr>
            <w:r w:rsidRPr="008A6342">
              <w:rPr>
                <w:rFonts w:ascii="Times New Roman" w:eastAsia="Times New Roman" w:hAnsi="Times New Roman" w:cs="Times New Roman"/>
                <w:sz w:val="22"/>
                <w:szCs w:val="22"/>
                <w:lang w:val="pl-PL"/>
              </w:rPr>
              <w:t xml:space="preserve">Istotne </w:t>
            </w:r>
            <w:r w:rsidR="002D5BF9" w:rsidRPr="008A6342">
              <w:rPr>
                <w:rFonts w:ascii="Times New Roman" w:eastAsia="Times New Roman" w:hAnsi="Times New Roman" w:cs="Times New Roman"/>
                <w:sz w:val="22"/>
                <w:szCs w:val="22"/>
                <w:lang w:val="pl-PL"/>
              </w:rPr>
              <w:t>zidentyfikowane ryzyka</w:t>
            </w:r>
          </w:p>
        </w:tc>
        <w:tc>
          <w:tcPr>
            <w:tcW w:w="3356" w:type="pct"/>
            <w:vAlign w:val="center"/>
          </w:tcPr>
          <w:p w14:paraId="0C50346E" w14:textId="77777777" w:rsidR="002D5BF9" w:rsidRPr="008A6342" w:rsidRDefault="00780E19" w:rsidP="004A1423">
            <w:pPr>
              <w:pStyle w:val="TabletextrowsAgency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pl-PL" w:eastAsia="en-GB"/>
              </w:rPr>
            </w:pPr>
            <w:r w:rsidRPr="008A6342">
              <w:rPr>
                <w:rFonts w:ascii="Times New Roman" w:eastAsia="SimSun" w:hAnsi="Times New Roman" w:cs="Times New Roman"/>
                <w:sz w:val="22"/>
                <w:szCs w:val="22"/>
                <w:lang w:val="pl-PL"/>
              </w:rPr>
              <w:t>Nie zidentyfikowano</w:t>
            </w:r>
          </w:p>
        </w:tc>
      </w:tr>
      <w:tr w:rsidR="002D5BF9" w:rsidRPr="00F67F4D" w14:paraId="67A8A586" w14:textId="77777777" w:rsidTr="00F54909">
        <w:trPr>
          <w:jc w:val="center"/>
        </w:trPr>
        <w:tc>
          <w:tcPr>
            <w:tcW w:w="1644" w:type="pct"/>
          </w:tcPr>
          <w:p w14:paraId="778CFBAA" w14:textId="77777777" w:rsidR="002D5BF9" w:rsidRPr="008A6342" w:rsidRDefault="00BC442E" w:rsidP="0039711B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val="pl-PL"/>
              </w:rPr>
            </w:pPr>
            <w:r w:rsidRPr="008A6342">
              <w:rPr>
                <w:rFonts w:ascii="Times New Roman" w:eastAsia="Times New Roman" w:hAnsi="Times New Roman" w:cs="Times New Roman"/>
                <w:sz w:val="22"/>
                <w:szCs w:val="22"/>
                <w:lang w:val="pl-PL"/>
              </w:rPr>
              <w:t xml:space="preserve">Istotne </w:t>
            </w:r>
            <w:r w:rsidR="002D5BF9" w:rsidRPr="008A6342">
              <w:rPr>
                <w:rFonts w:ascii="Times New Roman" w:eastAsia="Times New Roman" w:hAnsi="Times New Roman" w:cs="Times New Roman"/>
                <w:sz w:val="22"/>
                <w:szCs w:val="22"/>
                <w:lang w:val="pl-PL"/>
              </w:rPr>
              <w:t>potencjalne ryzyka</w:t>
            </w:r>
          </w:p>
        </w:tc>
        <w:tc>
          <w:tcPr>
            <w:tcW w:w="3356" w:type="pct"/>
            <w:vAlign w:val="center"/>
          </w:tcPr>
          <w:p w14:paraId="769FB326" w14:textId="77777777" w:rsidR="002D5BF9" w:rsidRPr="008A6342" w:rsidRDefault="00780E19" w:rsidP="004A142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pl-PL" w:eastAsia="en-GB"/>
              </w:rPr>
            </w:pPr>
            <w:r w:rsidRPr="008A6342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Nie zidentyfikowano</w:t>
            </w:r>
          </w:p>
        </w:tc>
      </w:tr>
      <w:tr w:rsidR="002D5BF9" w:rsidRPr="003C2E92" w14:paraId="566D5DCF" w14:textId="77777777" w:rsidTr="00F54909">
        <w:trPr>
          <w:jc w:val="center"/>
        </w:trPr>
        <w:tc>
          <w:tcPr>
            <w:tcW w:w="1644" w:type="pct"/>
          </w:tcPr>
          <w:p w14:paraId="4BE2F519" w14:textId="77777777" w:rsidR="002D5BF9" w:rsidRPr="008A6342" w:rsidRDefault="002D5BF9" w:rsidP="0039711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pl-PL"/>
              </w:rPr>
            </w:pPr>
            <w:r w:rsidRPr="008A6342">
              <w:rPr>
                <w:rFonts w:ascii="Times New Roman" w:eastAsia="Times New Roman" w:hAnsi="Times New Roman" w:cs="Times New Roman"/>
                <w:sz w:val="22"/>
                <w:szCs w:val="22"/>
                <w:lang w:val="pl-PL"/>
              </w:rPr>
              <w:t>Brakujące informacje</w:t>
            </w:r>
          </w:p>
        </w:tc>
        <w:tc>
          <w:tcPr>
            <w:tcW w:w="3356" w:type="pct"/>
          </w:tcPr>
          <w:p w14:paraId="5CE19DBE" w14:textId="77777777" w:rsidR="002D5BF9" w:rsidRPr="00780E19" w:rsidRDefault="00780E19" w:rsidP="004A1423">
            <w:pPr>
              <w:pStyle w:val="TabletextrowsAgency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pl-PL" w:eastAsia="en-GB"/>
              </w:rPr>
            </w:pPr>
            <w:r w:rsidRPr="00780E19">
              <w:rPr>
                <w:rFonts w:ascii="Times New Roman" w:hAnsi="Times New Roman" w:cs="Times New Roman"/>
                <w:sz w:val="22"/>
                <w:szCs w:val="22"/>
                <w:lang w:val="pl-PL" w:eastAsia="pl-PL"/>
              </w:rPr>
              <w:t>Nie zidentyfikowano</w:t>
            </w:r>
          </w:p>
        </w:tc>
      </w:tr>
    </w:tbl>
    <w:p w14:paraId="3CB4BB98" w14:textId="77777777" w:rsidR="00BC442E" w:rsidRPr="001D37E3" w:rsidRDefault="00BC442E" w:rsidP="00A77802">
      <w:pPr>
        <w:rPr>
          <w:lang w:val="pl-PL"/>
        </w:rPr>
      </w:pPr>
      <w:bookmarkStart w:id="475" w:name="_Toc464653163"/>
      <w:bookmarkStart w:id="476" w:name="_Toc468365855"/>
      <w:bookmarkStart w:id="477" w:name="_Toc478546148"/>
    </w:p>
    <w:p w14:paraId="7C8D978C" w14:textId="77777777" w:rsidR="004E072D" w:rsidRDefault="00BC442E" w:rsidP="005C28CC">
      <w:pPr>
        <w:pStyle w:val="BodytextAgency"/>
        <w:rPr>
          <w:rFonts w:ascii="Times New Roman" w:hAnsi="Times New Roman" w:cs="Times New Roman"/>
          <w:b/>
          <w:iCs/>
          <w:sz w:val="22"/>
          <w:szCs w:val="22"/>
          <w:lang w:val="pl-PL"/>
        </w:rPr>
      </w:pPr>
      <w:bookmarkStart w:id="478" w:name="_Toc444075115"/>
      <w:r w:rsidRPr="00A77802">
        <w:rPr>
          <w:rFonts w:ascii="Times New Roman" w:hAnsi="Times New Roman" w:cs="Times New Roman"/>
          <w:b/>
          <w:iCs/>
          <w:sz w:val="22"/>
          <w:szCs w:val="22"/>
          <w:lang w:val="pl-PL"/>
        </w:rPr>
        <w:t xml:space="preserve">II.B </w:t>
      </w:r>
      <w:bookmarkEnd w:id="478"/>
      <w:r w:rsidRPr="00A77802">
        <w:rPr>
          <w:rFonts w:ascii="Times New Roman" w:hAnsi="Times New Roman" w:cs="Times New Roman"/>
          <w:b/>
          <w:iCs/>
          <w:sz w:val="22"/>
          <w:szCs w:val="22"/>
          <w:lang w:val="pl-PL"/>
        </w:rPr>
        <w:t>Podsumowanie informacji o istotnych ryzykach</w:t>
      </w:r>
      <w:bookmarkEnd w:id="475"/>
      <w:bookmarkEnd w:id="476"/>
      <w:bookmarkEnd w:id="477"/>
    </w:p>
    <w:p w14:paraId="3F73F5A2" w14:textId="77777777" w:rsidR="00E90129" w:rsidRPr="00EC22A3" w:rsidRDefault="007915BD" w:rsidP="00EC22A3">
      <w:pPr>
        <w:rPr>
          <w:rFonts w:ascii="Times New Roman" w:hAnsi="Times New Roman" w:cs="Times New Roman"/>
          <w:iCs/>
          <w:sz w:val="22"/>
          <w:szCs w:val="22"/>
          <w:lang w:val="pl-PL"/>
        </w:rPr>
      </w:pPr>
      <w:r w:rsidRPr="00EC22A3">
        <w:rPr>
          <w:rFonts w:ascii="Times New Roman" w:eastAsia="Verdana" w:hAnsi="Times New Roman" w:cs="Times New Roman"/>
          <w:iCs/>
          <w:sz w:val="22"/>
          <w:szCs w:val="22"/>
          <w:lang w:val="pl-PL" w:eastAsia="en-GB"/>
        </w:rPr>
        <w:t>Informacja dotycząca bezpieczeństwa zawarta w proponowanej informacji o produkcie leczniczym jest zgodna z najnowszą wiedzą.</w:t>
      </w:r>
    </w:p>
    <w:p w14:paraId="7E0818DD" w14:textId="77777777" w:rsidR="00BC442E" w:rsidRPr="00A77802" w:rsidRDefault="00BC442E" w:rsidP="00BC442E">
      <w:pPr>
        <w:pStyle w:val="Heading2Agency"/>
        <w:numPr>
          <w:ilvl w:val="0"/>
          <w:numId w:val="0"/>
        </w:numPr>
        <w:jc w:val="both"/>
        <w:rPr>
          <w:rFonts w:ascii="Times New Roman" w:hAnsi="Times New Roman" w:cs="Times New Roman"/>
          <w:i w:val="0"/>
          <w:iCs/>
          <w:lang w:val="pl-PL"/>
        </w:rPr>
      </w:pPr>
      <w:bookmarkStart w:id="479" w:name="_Toc444075117"/>
      <w:bookmarkStart w:id="480" w:name="_Toc464653165"/>
      <w:bookmarkStart w:id="481" w:name="_Toc468365857"/>
      <w:bookmarkStart w:id="482" w:name="_Toc478546149"/>
      <w:r w:rsidRPr="00A77802">
        <w:rPr>
          <w:rFonts w:ascii="Times New Roman" w:hAnsi="Times New Roman" w:cs="Times New Roman"/>
          <w:i w:val="0"/>
          <w:iCs/>
          <w:lang w:val="pl-PL"/>
        </w:rPr>
        <w:t xml:space="preserve">II.C </w:t>
      </w:r>
      <w:bookmarkEnd w:id="479"/>
      <w:r w:rsidRPr="00A77802">
        <w:rPr>
          <w:rFonts w:ascii="Times New Roman" w:hAnsi="Times New Roman" w:cs="Times New Roman"/>
          <w:i w:val="0"/>
          <w:iCs/>
          <w:lang w:val="pl-PL"/>
        </w:rPr>
        <w:t>Plan przewidywanego rozwoju po dopuszczeniu produktu do obrotu</w:t>
      </w:r>
    </w:p>
    <w:p w14:paraId="17AED7EA" w14:textId="77777777" w:rsidR="00BC442E" w:rsidRPr="00A77802" w:rsidRDefault="00BC442E" w:rsidP="00BC442E">
      <w:pPr>
        <w:pStyle w:val="Heading3Agency"/>
        <w:numPr>
          <w:ilvl w:val="0"/>
          <w:numId w:val="0"/>
        </w:numPr>
        <w:jc w:val="both"/>
        <w:rPr>
          <w:rFonts w:ascii="Times New Roman" w:hAnsi="Times New Roman" w:cs="Times New Roman"/>
          <w:lang w:val="pl-PL"/>
        </w:rPr>
      </w:pPr>
      <w:bookmarkStart w:id="483" w:name="_Toc444075118"/>
      <w:bookmarkStart w:id="484" w:name="_Toc464653166"/>
      <w:bookmarkStart w:id="485" w:name="_Toc468365858"/>
      <w:bookmarkStart w:id="486" w:name="_Toc478546150"/>
      <w:bookmarkEnd w:id="480"/>
      <w:bookmarkEnd w:id="481"/>
      <w:bookmarkEnd w:id="482"/>
      <w:r w:rsidRPr="00A77802">
        <w:rPr>
          <w:rFonts w:ascii="Times New Roman" w:hAnsi="Times New Roman" w:cs="Times New Roman"/>
          <w:lang w:val="pl-PL"/>
        </w:rPr>
        <w:t xml:space="preserve">II.C.1 </w:t>
      </w:r>
      <w:bookmarkEnd w:id="483"/>
      <w:r w:rsidRPr="00A77802">
        <w:rPr>
          <w:rFonts w:ascii="Times New Roman" w:hAnsi="Times New Roman" w:cs="Times New Roman"/>
          <w:lang w:val="pl-PL"/>
        </w:rPr>
        <w:t>Badania, których przeprowadzenie stanowi warunek uzyskania pozwolenia na dopuszczenie do obrotu produktu leczniczego</w:t>
      </w:r>
    </w:p>
    <w:bookmarkEnd w:id="484"/>
    <w:bookmarkEnd w:id="485"/>
    <w:bookmarkEnd w:id="486"/>
    <w:p w14:paraId="299DE8C7" w14:textId="08499C5E" w:rsidR="002D5BF9" w:rsidRPr="00A77802" w:rsidRDefault="00BC442E" w:rsidP="002D5BF9">
      <w:pPr>
        <w:pStyle w:val="BodytextAgency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77802">
        <w:rPr>
          <w:rFonts w:ascii="Times New Roman" w:hAnsi="Times New Roman" w:cs="Times New Roman"/>
          <w:sz w:val="22"/>
          <w:szCs w:val="22"/>
          <w:lang w:val="pl-PL"/>
        </w:rPr>
        <w:t xml:space="preserve">Brak badań stanowiących warunek dopuszczenia produktu leczniczego do obrotu lub będących wynikiem specyficznych zobowiązań dotyczących produktu leczniczego </w:t>
      </w:r>
      <w:proofErr w:type="spellStart"/>
      <w:r w:rsidR="009C1EDC">
        <w:rPr>
          <w:rFonts w:ascii="Times New Roman" w:hAnsi="Times New Roman" w:cs="Times New Roman"/>
          <w:sz w:val="22"/>
          <w:szCs w:val="22"/>
          <w:lang w:val="pl-PL"/>
        </w:rPr>
        <w:t>Devir</w:t>
      </w:r>
      <w:proofErr w:type="spellEnd"/>
      <w:r w:rsidRPr="00A77802">
        <w:rPr>
          <w:rFonts w:ascii="Times New Roman" w:hAnsi="Times New Roman" w:cs="Times New Roman"/>
          <w:sz w:val="22"/>
          <w:szCs w:val="22"/>
          <w:lang w:val="pl-PL"/>
        </w:rPr>
        <w:t>.</w:t>
      </w:r>
    </w:p>
    <w:p w14:paraId="29F7D9AF" w14:textId="77777777" w:rsidR="00BC442E" w:rsidRPr="00A77802" w:rsidRDefault="00BC442E" w:rsidP="00BC442E">
      <w:pPr>
        <w:pStyle w:val="Heading3Agency"/>
        <w:numPr>
          <w:ilvl w:val="0"/>
          <w:numId w:val="0"/>
        </w:numPr>
        <w:jc w:val="both"/>
        <w:rPr>
          <w:rFonts w:ascii="Times New Roman" w:hAnsi="Times New Roman" w:cs="Times New Roman"/>
          <w:lang w:val="pl-PL"/>
        </w:rPr>
      </w:pPr>
      <w:bookmarkStart w:id="487" w:name="_Toc444075119"/>
      <w:bookmarkStart w:id="488" w:name="_Toc464653167"/>
      <w:bookmarkStart w:id="489" w:name="_Toc468365859"/>
      <w:bookmarkStart w:id="490" w:name="_Toc478546151"/>
      <w:r w:rsidRPr="00A77802">
        <w:rPr>
          <w:rFonts w:ascii="Times New Roman" w:eastAsia="MS Mincho" w:hAnsi="Times New Roman" w:cs="Times New Roman"/>
          <w:lang w:val="pl-PL" w:eastAsia="ja-JP"/>
        </w:rPr>
        <w:t xml:space="preserve">II.C.2 </w:t>
      </w:r>
      <w:bookmarkEnd w:id="487"/>
      <w:r w:rsidRPr="00A77802">
        <w:rPr>
          <w:rFonts w:ascii="Times New Roman" w:hAnsi="Times New Roman" w:cs="Times New Roman"/>
          <w:lang w:val="pl-PL"/>
        </w:rPr>
        <w:t>Inne badania porejestracyjne uwzględnione w planie rozwoju produktu leczniczego</w:t>
      </w:r>
    </w:p>
    <w:bookmarkEnd w:id="488"/>
    <w:bookmarkEnd w:id="489"/>
    <w:bookmarkEnd w:id="490"/>
    <w:p w14:paraId="2466DBAD" w14:textId="5B544FD1" w:rsidR="002D5BF9" w:rsidRPr="00A77802" w:rsidRDefault="00BC442E" w:rsidP="002D5BF9">
      <w:pPr>
        <w:pStyle w:val="BodytextAgency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A77802">
        <w:rPr>
          <w:rFonts w:ascii="Times New Roman" w:hAnsi="Times New Roman" w:cs="Times New Roman"/>
          <w:sz w:val="22"/>
          <w:szCs w:val="22"/>
          <w:lang w:val="pl-PL"/>
        </w:rPr>
        <w:t xml:space="preserve">Brak badań, których przeprowadzenie jest wymagane w odniesieniu do produktu leczniczego </w:t>
      </w:r>
      <w:proofErr w:type="spellStart"/>
      <w:r w:rsidR="009C1EDC">
        <w:rPr>
          <w:rFonts w:ascii="Times New Roman" w:hAnsi="Times New Roman" w:cs="Times New Roman"/>
          <w:sz w:val="22"/>
          <w:szCs w:val="22"/>
          <w:lang w:val="pl-PL"/>
        </w:rPr>
        <w:t>Devir</w:t>
      </w:r>
      <w:proofErr w:type="spellEnd"/>
      <w:r w:rsidR="00526B0D">
        <w:rPr>
          <w:rFonts w:ascii="Times New Roman" w:hAnsi="Times New Roman" w:cs="Times New Roman"/>
          <w:sz w:val="22"/>
          <w:szCs w:val="22"/>
          <w:lang w:val="pl-PL"/>
        </w:rPr>
        <w:t>.</w:t>
      </w:r>
    </w:p>
    <w:p w14:paraId="1906522B" w14:textId="77777777" w:rsidR="002D5BF9" w:rsidRPr="00A77802" w:rsidRDefault="002D5BF9" w:rsidP="002D5BF9">
      <w:pPr>
        <w:jc w:val="both"/>
        <w:rPr>
          <w:rFonts w:ascii="Times New Roman" w:hAnsi="Times New Roman" w:cs="Times New Roman"/>
          <w:sz w:val="22"/>
          <w:szCs w:val="22"/>
          <w:lang w:val="pl-PL"/>
        </w:rPr>
      </w:pPr>
    </w:p>
    <w:p w14:paraId="228AF8B1" w14:textId="77777777" w:rsidR="007150C4" w:rsidRPr="00A77802" w:rsidRDefault="007150C4">
      <w:pPr>
        <w:rPr>
          <w:rFonts w:ascii="Times New Roman" w:hAnsi="Times New Roman" w:cs="Times New Roman"/>
          <w:sz w:val="22"/>
          <w:szCs w:val="22"/>
          <w:lang w:val="pl-PL"/>
        </w:rPr>
      </w:pPr>
    </w:p>
    <w:sectPr w:rsidR="007150C4" w:rsidRPr="00A77802" w:rsidSect="003971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06468"/>
    <w:multiLevelType w:val="hybridMultilevel"/>
    <w:tmpl w:val="68A4C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56B56"/>
    <w:multiLevelType w:val="hybridMultilevel"/>
    <w:tmpl w:val="065EAE1A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 w15:restartNumberingAfterBreak="0">
    <w:nsid w:val="0E0F14CB"/>
    <w:multiLevelType w:val="hybridMultilevel"/>
    <w:tmpl w:val="28BC4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131AA"/>
    <w:multiLevelType w:val="hybridMultilevel"/>
    <w:tmpl w:val="14985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211BD"/>
    <w:multiLevelType w:val="hybridMultilevel"/>
    <w:tmpl w:val="3132D126"/>
    <w:lvl w:ilvl="0" w:tplc="3C3418B6">
      <w:start w:val="1"/>
      <w:numFmt w:val="bullet"/>
      <w:lvlText w:val=""/>
      <w:lvlJc w:val="left"/>
      <w:pPr>
        <w:ind w:left="502" w:hanging="360"/>
      </w:pPr>
      <w:rPr>
        <w:rFonts w:ascii="Times New Roman" w:hAnsi="Times New Roman" w:cs="Times New Roman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95B5572"/>
    <w:multiLevelType w:val="hybridMultilevel"/>
    <w:tmpl w:val="0A04A1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60260"/>
    <w:multiLevelType w:val="hybridMultilevel"/>
    <w:tmpl w:val="8BACD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C01FFE"/>
    <w:multiLevelType w:val="hybridMultilevel"/>
    <w:tmpl w:val="09D447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597406AE"/>
    <w:multiLevelType w:val="hybridMultilevel"/>
    <w:tmpl w:val="0BFE82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750615">
    <w:abstractNumId w:val="8"/>
  </w:num>
  <w:num w:numId="2" w16cid:durableId="1893687659">
    <w:abstractNumId w:val="1"/>
  </w:num>
  <w:num w:numId="3" w16cid:durableId="405341893">
    <w:abstractNumId w:val="3"/>
  </w:num>
  <w:num w:numId="4" w16cid:durableId="963998683">
    <w:abstractNumId w:val="6"/>
  </w:num>
  <w:num w:numId="5" w16cid:durableId="133371544">
    <w:abstractNumId w:val="9"/>
  </w:num>
  <w:num w:numId="6" w16cid:durableId="369037746">
    <w:abstractNumId w:val="5"/>
  </w:num>
  <w:num w:numId="7" w16cid:durableId="1685936114">
    <w:abstractNumId w:val="7"/>
  </w:num>
  <w:num w:numId="8" w16cid:durableId="2121491891">
    <w:abstractNumId w:val="4"/>
  </w:num>
  <w:num w:numId="9" w16cid:durableId="1796487985">
    <w:abstractNumId w:val="2"/>
  </w:num>
  <w:num w:numId="10" w16cid:durableId="547716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BF9"/>
    <w:rsid w:val="000A7C6B"/>
    <w:rsid w:val="000D59AB"/>
    <w:rsid w:val="00105E9A"/>
    <w:rsid w:val="00167401"/>
    <w:rsid w:val="001814F0"/>
    <w:rsid w:val="00192C91"/>
    <w:rsid w:val="001D37E3"/>
    <w:rsid w:val="00225C57"/>
    <w:rsid w:val="00244A70"/>
    <w:rsid w:val="002B682D"/>
    <w:rsid w:val="002D5BF9"/>
    <w:rsid w:val="00311653"/>
    <w:rsid w:val="0032442E"/>
    <w:rsid w:val="003563B5"/>
    <w:rsid w:val="0039711B"/>
    <w:rsid w:val="003B3D51"/>
    <w:rsid w:val="003C2E92"/>
    <w:rsid w:val="00451B59"/>
    <w:rsid w:val="0045577D"/>
    <w:rsid w:val="004A1423"/>
    <w:rsid w:val="004A4AE8"/>
    <w:rsid w:val="004E072D"/>
    <w:rsid w:val="004F5504"/>
    <w:rsid w:val="00526B0D"/>
    <w:rsid w:val="00536D14"/>
    <w:rsid w:val="00546157"/>
    <w:rsid w:val="00553C38"/>
    <w:rsid w:val="0056566B"/>
    <w:rsid w:val="005B1F69"/>
    <w:rsid w:val="005C28CC"/>
    <w:rsid w:val="005C7C46"/>
    <w:rsid w:val="00642838"/>
    <w:rsid w:val="006671C2"/>
    <w:rsid w:val="00684F7B"/>
    <w:rsid w:val="00685018"/>
    <w:rsid w:val="00690600"/>
    <w:rsid w:val="006A0848"/>
    <w:rsid w:val="006C310B"/>
    <w:rsid w:val="007150C4"/>
    <w:rsid w:val="007501CD"/>
    <w:rsid w:val="00780E19"/>
    <w:rsid w:val="00785980"/>
    <w:rsid w:val="00790A2F"/>
    <w:rsid w:val="007915BD"/>
    <w:rsid w:val="007B3A2D"/>
    <w:rsid w:val="0081507A"/>
    <w:rsid w:val="00835634"/>
    <w:rsid w:val="00850AE7"/>
    <w:rsid w:val="008667C2"/>
    <w:rsid w:val="008A6342"/>
    <w:rsid w:val="008F7299"/>
    <w:rsid w:val="00904FE1"/>
    <w:rsid w:val="00952A99"/>
    <w:rsid w:val="009C1EDC"/>
    <w:rsid w:val="00A0423C"/>
    <w:rsid w:val="00A77802"/>
    <w:rsid w:val="00AA17AC"/>
    <w:rsid w:val="00AC150B"/>
    <w:rsid w:val="00B17920"/>
    <w:rsid w:val="00B263F0"/>
    <w:rsid w:val="00B8108B"/>
    <w:rsid w:val="00BB5ECF"/>
    <w:rsid w:val="00BC442E"/>
    <w:rsid w:val="00BE25F7"/>
    <w:rsid w:val="00BE4677"/>
    <w:rsid w:val="00C216AA"/>
    <w:rsid w:val="00C36947"/>
    <w:rsid w:val="00C66DBC"/>
    <w:rsid w:val="00CA5DD7"/>
    <w:rsid w:val="00D30351"/>
    <w:rsid w:val="00D41F79"/>
    <w:rsid w:val="00D74000"/>
    <w:rsid w:val="00D84854"/>
    <w:rsid w:val="00DE03F7"/>
    <w:rsid w:val="00DF16DC"/>
    <w:rsid w:val="00E23754"/>
    <w:rsid w:val="00E30DBA"/>
    <w:rsid w:val="00E473FE"/>
    <w:rsid w:val="00E90129"/>
    <w:rsid w:val="00EC22A3"/>
    <w:rsid w:val="00EC769B"/>
    <w:rsid w:val="00F54909"/>
    <w:rsid w:val="00F67F4D"/>
    <w:rsid w:val="00FF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BAE83"/>
  <w15:docId w15:val="{ED007BBA-5B40-4C71-B8D3-65211CD19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5BF9"/>
    <w:pPr>
      <w:spacing w:after="0" w:line="240" w:lineRule="auto"/>
    </w:pPr>
    <w:rPr>
      <w:rFonts w:ascii="Verdana" w:eastAsia="SimSun" w:hAnsi="Verdana" w:cs="Verdana"/>
      <w:sz w:val="18"/>
      <w:szCs w:val="18"/>
      <w:lang w:val="en-GB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centredAgency">
    <w:name w:val="Heading centred (Agency)"/>
    <w:basedOn w:val="Normalny"/>
    <w:next w:val="BodytextAgency"/>
    <w:qFormat/>
    <w:rsid w:val="002D5BF9"/>
    <w:pPr>
      <w:keepNext/>
      <w:spacing w:before="280" w:after="220"/>
      <w:jc w:val="center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BodytextAgency">
    <w:name w:val="Body text (Agency)"/>
    <w:basedOn w:val="Normalny"/>
    <w:link w:val="BodytextAgencyChar"/>
    <w:qFormat/>
    <w:rsid w:val="002D5BF9"/>
    <w:pPr>
      <w:spacing w:after="140" w:line="280" w:lineRule="atLeast"/>
    </w:pPr>
    <w:rPr>
      <w:rFonts w:eastAsia="Verdana"/>
      <w:lang w:eastAsia="en-GB"/>
    </w:rPr>
  </w:style>
  <w:style w:type="paragraph" w:customStyle="1" w:styleId="Heading1Agency">
    <w:name w:val="Heading 1 (Agency)"/>
    <w:basedOn w:val="Normalny"/>
    <w:next w:val="BodytextAgency"/>
    <w:qFormat/>
    <w:rsid w:val="002D5BF9"/>
    <w:pPr>
      <w:keepNext/>
      <w:numPr>
        <w:numId w:val="1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ny"/>
    <w:next w:val="BodytextAgency"/>
    <w:link w:val="Heading2AgencyChar"/>
    <w:qFormat/>
    <w:rsid w:val="002D5BF9"/>
    <w:pPr>
      <w:keepNext/>
      <w:numPr>
        <w:ilvl w:val="1"/>
        <w:numId w:val="1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ny"/>
    <w:next w:val="BodytextAgency"/>
    <w:link w:val="Heading3AgencyCharChar"/>
    <w:qFormat/>
    <w:rsid w:val="002D5BF9"/>
    <w:pPr>
      <w:keepNext/>
      <w:numPr>
        <w:ilvl w:val="2"/>
        <w:numId w:val="1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2D5BF9"/>
    <w:pPr>
      <w:numPr>
        <w:ilvl w:val="3"/>
      </w:numPr>
      <w:tabs>
        <w:tab w:val="num" w:pos="360"/>
      </w:tabs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2D5BF9"/>
    <w:pPr>
      <w:numPr>
        <w:ilvl w:val="4"/>
      </w:numPr>
      <w:tabs>
        <w:tab w:val="num" w:pos="360"/>
      </w:tabs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rsid w:val="002D5BF9"/>
    <w:pPr>
      <w:numPr>
        <w:ilvl w:val="5"/>
      </w:numPr>
      <w:tabs>
        <w:tab w:val="num" w:pos="360"/>
      </w:tabs>
      <w:outlineLvl w:val="5"/>
    </w:pPr>
  </w:style>
  <w:style w:type="paragraph" w:customStyle="1" w:styleId="Heading7Agency">
    <w:name w:val="Heading 7 (Agency)"/>
    <w:basedOn w:val="Heading6Agency"/>
    <w:next w:val="BodytextAgency"/>
    <w:rsid w:val="002D5BF9"/>
    <w:pPr>
      <w:numPr>
        <w:ilvl w:val="6"/>
      </w:numPr>
      <w:tabs>
        <w:tab w:val="num" w:pos="360"/>
      </w:tabs>
      <w:outlineLvl w:val="6"/>
    </w:pPr>
  </w:style>
  <w:style w:type="paragraph" w:customStyle="1" w:styleId="Heading8Agency">
    <w:name w:val="Heading 8 (Agency)"/>
    <w:basedOn w:val="Heading7Agency"/>
    <w:next w:val="BodytextAgency"/>
    <w:rsid w:val="002D5BF9"/>
    <w:pPr>
      <w:numPr>
        <w:ilvl w:val="7"/>
      </w:numPr>
      <w:tabs>
        <w:tab w:val="num" w:pos="360"/>
      </w:tabs>
      <w:outlineLvl w:val="7"/>
    </w:pPr>
  </w:style>
  <w:style w:type="paragraph" w:customStyle="1" w:styleId="Heading9Agency">
    <w:name w:val="Heading 9 (Agency)"/>
    <w:basedOn w:val="Heading8Agency"/>
    <w:next w:val="BodytextAgency"/>
    <w:rsid w:val="002D5BF9"/>
    <w:pPr>
      <w:numPr>
        <w:ilvl w:val="8"/>
      </w:numPr>
      <w:tabs>
        <w:tab w:val="num" w:pos="360"/>
      </w:tabs>
      <w:outlineLvl w:val="8"/>
    </w:pPr>
  </w:style>
  <w:style w:type="character" w:customStyle="1" w:styleId="BodytextAgencyChar">
    <w:name w:val="Body text (Agency) Char"/>
    <w:link w:val="BodytextAgency"/>
    <w:locked/>
    <w:rsid w:val="002D5BF9"/>
    <w:rPr>
      <w:rFonts w:ascii="Verdana" w:eastAsia="Verdana" w:hAnsi="Verdana" w:cs="Verdana"/>
      <w:sz w:val="18"/>
      <w:szCs w:val="18"/>
      <w:lang w:val="en-GB" w:eastAsia="en-GB"/>
    </w:rPr>
  </w:style>
  <w:style w:type="character" w:customStyle="1" w:styleId="Heading2AgencyChar">
    <w:name w:val="Heading 2 (Agency) Char"/>
    <w:link w:val="Heading2Agency"/>
    <w:rsid w:val="002D5BF9"/>
    <w:rPr>
      <w:rFonts w:ascii="Verdana" w:eastAsia="Verdana" w:hAnsi="Verdana" w:cs="Arial"/>
      <w:b/>
      <w:bCs/>
      <w:i/>
      <w:kern w:val="32"/>
      <w:lang w:val="en-GB" w:eastAsia="en-GB"/>
    </w:rPr>
  </w:style>
  <w:style w:type="character" w:customStyle="1" w:styleId="Heading3AgencyCharChar">
    <w:name w:val="Heading 3 (Agency) Char Char"/>
    <w:link w:val="Heading3Agency"/>
    <w:rsid w:val="002D5BF9"/>
    <w:rPr>
      <w:rFonts w:ascii="Verdana" w:eastAsia="Verdana" w:hAnsi="Verdana" w:cs="Arial"/>
      <w:b/>
      <w:bCs/>
      <w:kern w:val="32"/>
      <w:lang w:val="en-GB" w:eastAsia="en-GB"/>
    </w:rPr>
  </w:style>
  <w:style w:type="paragraph" w:customStyle="1" w:styleId="TabletextrowsAgency">
    <w:name w:val="Table text rows (Agency)"/>
    <w:basedOn w:val="Normalny"/>
    <w:link w:val="TabletextrowsAgencyChar"/>
    <w:qFormat/>
    <w:rsid w:val="002D5BF9"/>
    <w:pPr>
      <w:spacing w:line="280" w:lineRule="exact"/>
    </w:pPr>
    <w:rPr>
      <w:rFonts w:eastAsia="Times New Roman"/>
    </w:rPr>
  </w:style>
  <w:style w:type="character" w:customStyle="1" w:styleId="TabletextrowsAgencyChar">
    <w:name w:val="Table text rows (Agency) Char"/>
    <w:link w:val="TabletextrowsAgency"/>
    <w:locked/>
    <w:rsid w:val="002D5BF9"/>
    <w:rPr>
      <w:rFonts w:ascii="Verdana" w:eastAsia="Times New Roman" w:hAnsi="Verdana" w:cs="Verdana"/>
      <w:sz w:val="18"/>
      <w:szCs w:val="18"/>
      <w:lang w:val="en-GB" w:eastAsia="zh-CN"/>
    </w:rPr>
  </w:style>
  <w:style w:type="paragraph" w:styleId="Zwykytekst">
    <w:name w:val="Plain Text"/>
    <w:basedOn w:val="Normalny"/>
    <w:link w:val="ZwykytekstZnak"/>
    <w:uiPriority w:val="99"/>
    <w:unhideWhenUsed/>
    <w:rsid w:val="002D5BF9"/>
    <w:rPr>
      <w:rFonts w:ascii="Consolas" w:eastAsiaTheme="minorHAnsi" w:hAnsi="Consolas" w:cs="Consolas"/>
      <w:sz w:val="21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D5BF9"/>
    <w:rPr>
      <w:rFonts w:ascii="Consolas" w:hAnsi="Consolas" w:cs="Consolas"/>
      <w:sz w:val="21"/>
      <w:szCs w:val="21"/>
    </w:rPr>
  </w:style>
  <w:style w:type="paragraph" w:customStyle="1" w:styleId="TableheadingrowsAgency">
    <w:name w:val="Table heading rows (Agency)"/>
    <w:basedOn w:val="BodytextAgency"/>
    <w:rsid w:val="002D5BF9"/>
    <w:pPr>
      <w:keepNext/>
    </w:pPr>
    <w:rPr>
      <w:rFonts w:eastAsia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501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5018"/>
    <w:rPr>
      <w:rFonts w:ascii="Tahoma" w:eastAsia="SimSun" w:hAnsi="Tahoma" w:cs="Tahoma"/>
      <w:sz w:val="16"/>
      <w:szCs w:val="16"/>
      <w:lang w:val="en-GB" w:eastAsia="zh-CN"/>
    </w:rPr>
  </w:style>
  <w:style w:type="paragraph" w:styleId="Stopka">
    <w:name w:val="footer"/>
    <w:basedOn w:val="Normalny"/>
    <w:link w:val="StopkaZnak"/>
    <w:semiHidden/>
    <w:rsid w:val="008667C2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customStyle="1" w:styleId="StopkaZnak">
    <w:name w:val="Stopka Znak"/>
    <w:basedOn w:val="Domylnaczcionkaakapitu"/>
    <w:link w:val="Stopka"/>
    <w:semiHidden/>
    <w:rsid w:val="008667C2"/>
    <w:rPr>
      <w:rFonts w:ascii="Arial" w:eastAsia="Times New Roman" w:hAnsi="Arial" w:cs="Verdana"/>
      <w:sz w:val="16"/>
      <w:szCs w:val="20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06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060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0600"/>
    <w:rPr>
      <w:rFonts w:ascii="Verdana" w:eastAsia="SimSun" w:hAnsi="Verdana" w:cs="Verdana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06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0600"/>
    <w:rPr>
      <w:rFonts w:ascii="Verdana" w:eastAsia="SimSun" w:hAnsi="Verdana" w:cs="Verdana"/>
      <w:b/>
      <w:bCs/>
      <w:sz w:val="20"/>
      <w:szCs w:val="20"/>
      <w:lang w:val="en-GB" w:eastAsia="zh-CN"/>
    </w:rPr>
  </w:style>
  <w:style w:type="paragraph" w:customStyle="1" w:styleId="Default">
    <w:name w:val="Default"/>
    <w:rsid w:val="00526B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A0848"/>
    <w:pPr>
      <w:spacing w:after="0" w:line="240" w:lineRule="auto"/>
    </w:pPr>
    <w:rPr>
      <w:rFonts w:ascii="Verdana" w:eastAsia="SimSun" w:hAnsi="Verdana" w:cs="Verdana"/>
      <w:sz w:val="18"/>
      <w:szCs w:val="18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E9E33B5AF43941B83FE4100894B8CE" ma:contentTypeVersion="4" ma:contentTypeDescription="Utwórz nowy dokument." ma:contentTypeScope="" ma:versionID="41f9b53b9a7b38549eebff8c8e8d9f36">
  <xsd:schema xmlns:xsd="http://www.w3.org/2001/XMLSchema" xmlns:xs="http://www.w3.org/2001/XMLSchema" xmlns:p="http://schemas.microsoft.com/office/2006/metadata/properties" xmlns:ns2="7d4d146c-b45f-4df1-b1a3-aa6e878a2264" targetNamespace="http://schemas.microsoft.com/office/2006/metadata/properties" ma:root="true" ma:fieldsID="0fcbc5d9b943539e8b43b54e56c51437" ns2:_="">
    <xsd:import namespace="7d4d146c-b45f-4df1-b1a3-aa6e878a22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d146c-b45f-4df1-b1a3-aa6e878a22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C965F6-2DCD-47B0-AC3C-6515C51CC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d146c-b45f-4df1-b1a3-aa6e878a22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CAC1DF-5F3F-40FA-839F-8DB6A6E4ED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75F71E-9D51-4BA8-94B5-B19D92D856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PHARMASPIN</dc:creator>
  <cp:lastModifiedBy>Kalinowska Anna</cp:lastModifiedBy>
  <cp:revision>2</cp:revision>
  <dcterms:created xsi:type="dcterms:W3CDTF">2026-05-15T08:20:00Z</dcterms:created>
  <dcterms:modified xsi:type="dcterms:W3CDTF">2026-05-15T08:20:00Z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0x01010011E9E33B5AF43941B83FE4100894B8CE</vt:lpwstr>
  </property>
</Properties>
</file>