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54B06" w14:textId="77777777" w:rsidR="00B15DFA" w:rsidRDefault="00DE6889" w:rsidP="00B15DFA">
      <w:pPr>
        <w:pStyle w:val="HeadingcentredAgency"/>
        <w:jc w:val="both"/>
        <w:rPr>
          <w:color w:val="008000"/>
          <w:sz w:val="28"/>
          <w:szCs w:val="28"/>
          <w:lang w:val="pl-PL"/>
        </w:rPr>
      </w:pPr>
      <w:r>
        <w:rPr>
          <w:color w:val="008000"/>
          <w:sz w:val="28"/>
          <w:szCs w:val="28"/>
          <w:lang w:val="pl-PL"/>
        </w:rPr>
        <w:t xml:space="preserve">Część VI: </w:t>
      </w:r>
      <w:r w:rsidR="00077128">
        <w:rPr>
          <w:color w:val="008000"/>
          <w:sz w:val="28"/>
          <w:szCs w:val="28"/>
          <w:lang w:val="pl-PL"/>
        </w:rPr>
        <w:t>Streszczenie</w:t>
      </w:r>
      <w:r w:rsidR="00077128" w:rsidRPr="00C34A25">
        <w:rPr>
          <w:color w:val="008000"/>
          <w:sz w:val="28"/>
          <w:szCs w:val="28"/>
          <w:lang w:val="pl-PL"/>
        </w:rPr>
        <w:t xml:space="preserve"> </w:t>
      </w:r>
      <w:r w:rsidR="00682974" w:rsidRPr="00C34A25">
        <w:rPr>
          <w:color w:val="008000"/>
          <w:sz w:val="28"/>
          <w:szCs w:val="28"/>
          <w:lang w:val="pl-PL"/>
        </w:rPr>
        <w:t>planu zarządzania ryzykiem</w:t>
      </w:r>
      <w:r w:rsidR="00150B01" w:rsidRPr="00C34A25">
        <w:rPr>
          <w:color w:val="008000"/>
          <w:sz w:val="28"/>
          <w:szCs w:val="28"/>
          <w:lang w:val="pl-PL"/>
        </w:rPr>
        <w:t xml:space="preserve">   </w:t>
      </w:r>
      <w:bookmarkStart w:id="0" w:name="_Toc332296643"/>
      <w:bookmarkStart w:id="1" w:name="_Toc332297430"/>
      <w:bookmarkStart w:id="2" w:name="_Toc332298251"/>
      <w:bookmarkStart w:id="3" w:name="_Toc332298727"/>
      <w:bookmarkStart w:id="4" w:name="_Toc332299012"/>
      <w:bookmarkStart w:id="5" w:name="_Toc332299291"/>
      <w:bookmarkStart w:id="6" w:name="_Toc332299572"/>
      <w:bookmarkStart w:id="7" w:name="_Toc332299851"/>
      <w:bookmarkStart w:id="8" w:name="_Toc332296651"/>
      <w:bookmarkStart w:id="9" w:name="_Toc332297438"/>
      <w:bookmarkStart w:id="10" w:name="_Toc332298259"/>
      <w:bookmarkStart w:id="11" w:name="_Toc332298735"/>
      <w:bookmarkStart w:id="12" w:name="_Toc332299020"/>
      <w:bookmarkStart w:id="13" w:name="_Toc332299299"/>
      <w:bookmarkStart w:id="14" w:name="_Toc332299580"/>
      <w:bookmarkStart w:id="15" w:name="_Toc332299859"/>
      <w:bookmarkStart w:id="16" w:name="_Toc332298319"/>
      <w:bookmarkStart w:id="17" w:name="_Toc332298795"/>
      <w:bookmarkStart w:id="18" w:name="_Toc332299080"/>
      <w:bookmarkStart w:id="19" w:name="_Toc332299359"/>
      <w:bookmarkStart w:id="20" w:name="_Toc332299640"/>
      <w:bookmarkStart w:id="21" w:name="_Toc332299919"/>
      <w:bookmarkStart w:id="22" w:name="_Toc332298326"/>
      <w:bookmarkStart w:id="23" w:name="_Toc332298802"/>
      <w:bookmarkStart w:id="24" w:name="_Toc332299087"/>
      <w:bookmarkStart w:id="25" w:name="_Toc332299366"/>
      <w:bookmarkStart w:id="26" w:name="_Toc332299647"/>
      <w:bookmarkStart w:id="27" w:name="_Toc332299926"/>
      <w:bookmarkStart w:id="28" w:name="_Toc332298334"/>
      <w:bookmarkStart w:id="29" w:name="_Toc332298810"/>
      <w:bookmarkStart w:id="30" w:name="_Toc332299095"/>
      <w:bookmarkStart w:id="31" w:name="_Toc332299374"/>
      <w:bookmarkStart w:id="32" w:name="_Toc332299655"/>
      <w:bookmarkStart w:id="33" w:name="_Toc332299934"/>
      <w:bookmarkStart w:id="34" w:name="_Toc332298335"/>
      <w:bookmarkStart w:id="35" w:name="_Toc332298811"/>
      <w:bookmarkStart w:id="36" w:name="_Toc332299096"/>
      <w:bookmarkStart w:id="37" w:name="_Toc332299375"/>
      <w:bookmarkStart w:id="38" w:name="_Toc332299656"/>
      <w:bookmarkStart w:id="39" w:name="_Toc332299935"/>
      <w:bookmarkStart w:id="40" w:name="_Toc332298336"/>
      <w:bookmarkStart w:id="41" w:name="_Toc332298812"/>
      <w:bookmarkStart w:id="42" w:name="_Toc332299097"/>
      <w:bookmarkStart w:id="43" w:name="_Toc332299376"/>
      <w:bookmarkStart w:id="44" w:name="_Toc332299657"/>
      <w:bookmarkStart w:id="45" w:name="_Toc332299936"/>
      <w:bookmarkStart w:id="46" w:name="_Toc332298337"/>
      <w:bookmarkStart w:id="47" w:name="_Toc332298813"/>
      <w:bookmarkStart w:id="48" w:name="_Toc332299098"/>
      <w:bookmarkStart w:id="49" w:name="_Toc332299377"/>
      <w:bookmarkStart w:id="50" w:name="_Toc332299658"/>
      <w:bookmarkStart w:id="51" w:name="_Toc332299937"/>
      <w:bookmarkStart w:id="52" w:name="_Toc332298339"/>
      <w:bookmarkStart w:id="53" w:name="_Toc332298815"/>
      <w:bookmarkStart w:id="54" w:name="_Toc332299100"/>
      <w:bookmarkStart w:id="55" w:name="_Toc332299379"/>
      <w:bookmarkStart w:id="56" w:name="_Toc332299660"/>
      <w:bookmarkStart w:id="57" w:name="_Toc332299939"/>
      <w:bookmarkStart w:id="58" w:name="_Toc332298347"/>
      <w:bookmarkStart w:id="59" w:name="_Toc332298823"/>
      <w:bookmarkStart w:id="60" w:name="_Toc332299108"/>
      <w:bookmarkStart w:id="61" w:name="_Toc332299387"/>
      <w:bookmarkStart w:id="62" w:name="_Toc332299668"/>
      <w:bookmarkStart w:id="63" w:name="_Toc332299947"/>
      <w:bookmarkStart w:id="64" w:name="_Toc332298352"/>
      <w:bookmarkStart w:id="65" w:name="_Toc332298828"/>
      <w:bookmarkStart w:id="66" w:name="_Toc332299113"/>
      <w:bookmarkStart w:id="67" w:name="_Toc332299392"/>
      <w:bookmarkStart w:id="68" w:name="_Toc332299673"/>
      <w:bookmarkStart w:id="69" w:name="_Toc332299952"/>
      <w:bookmarkStart w:id="70" w:name="_Toc332298353"/>
      <w:bookmarkStart w:id="71" w:name="_Toc332298829"/>
      <w:bookmarkStart w:id="72" w:name="_Toc332299114"/>
      <w:bookmarkStart w:id="73" w:name="_Toc332299393"/>
      <w:bookmarkStart w:id="74" w:name="_Toc332299674"/>
      <w:bookmarkStart w:id="75" w:name="_Toc332299953"/>
      <w:bookmarkStart w:id="76" w:name="_Toc332298354"/>
      <w:bookmarkStart w:id="77" w:name="_Toc332298830"/>
      <w:bookmarkStart w:id="78" w:name="_Toc332299115"/>
      <w:bookmarkStart w:id="79" w:name="_Toc332299394"/>
      <w:bookmarkStart w:id="80" w:name="_Toc332299675"/>
      <w:bookmarkStart w:id="81" w:name="_Toc332299954"/>
      <w:bookmarkStart w:id="82" w:name="_Toc332298357"/>
      <w:bookmarkStart w:id="83" w:name="_Toc332298833"/>
      <w:bookmarkStart w:id="84" w:name="_Toc332299118"/>
      <w:bookmarkStart w:id="85" w:name="_Toc332299397"/>
      <w:bookmarkStart w:id="86" w:name="_Toc332299678"/>
      <w:bookmarkStart w:id="87" w:name="_Toc332299957"/>
      <w:bookmarkStart w:id="88" w:name="_Toc332298359"/>
      <w:bookmarkStart w:id="89" w:name="_Toc332298835"/>
      <w:bookmarkStart w:id="90" w:name="_Toc332299120"/>
      <w:bookmarkStart w:id="91" w:name="_Toc332299399"/>
      <w:bookmarkStart w:id="92" w:name="_Toc332299680"/>
      <w:bookmarkStart w:id="93" w:name="_Toc332299959"/>
      <w:bookmarkStart w:id="94" w:name="_Toc332298361"/>
      <w:bookmarkStart w:id="95" w:name="_Toc332298837"/>
      <w:bookmarkStart w:id="96" w:name="_Toc332299122"/>
      <w:bookmarkStart w:id="97" w:name="_Toc332299401"/>
      <w:bookmarkStart w:id="98" w:name="_Toc332299682"/>
      <w:bookmarkStart w:id="99" w:name="_Toc332299961"/>
      <w:bookmarkStart w:id="100" w:name="_Toc332298368"/>
      <w:bookmarkStart w:id="101" w:name="_Toc332298844"/>
      <w:bookmarkStart w:id="102" w:name="_Toc332299129"/>
      <w:bookmarkStart w:id="103" w:name="_Toc332299408"/>
      <w:bookmarkStart w:id="104" w:name="_Toc332299689"/>
      <w:bookmarkStart w:id="105" w:name="_Toc332299968"/>
      <w:bookmarkStart w:id="106" w:name="_Toc332298376"/>
      <w:bookmarkStart w:id="107" w:name="_Toc332298852"/>
      <w:bookmarkStart w:id="108" w:name="_Toc332299137"/>
      <w:bookmarkStart w:id="109" w:name="_Toc332299416"/>
      <w:bookmarkStart w:id="110" w:name="_Toc332299697"/>
      <w:bookmarkStart w:id="111" w:name="_Toc332299976"/>
      <w:bookmarkStart w:id="112" w:name="_Toc332298377"/>
      <w:bookmarkStart w:id="113" w:name="_Toc332298853"/>
      <w:bookmarkStart w:id="114" w:name="_Toc332299138"/>
      <w:bookmarkStart w:id="115" w:name="_Toc332299417"/>
      <w:bookmarkStart w:id="116" w:name="_Toc332299698"/>
      <w:bookmarkStart w:id="117" w:name="_Toc332299977"/>
      <w:bookmarkStart w:id="118" w:name="_Toc332298378"/>
      <w:bookmarkStart w:id="119" w:name="_Toc332298854"/>
      <w:bookmarkStart w:id="120" w:name="_Toc332299139"/>
      <w:bookmarkStart w:id="121" w:name="_Toc332299418"/>
      <w:bookmarkStart w:id="122" w:name="_Toc332299699"/>
      <w:bookmarkStart w:id="123" w:name="_Toc332299978"/>
      <w:bookmarkStart w:id="124" w:name="_Toc332298379"/>
      <w:bookmarkStart w:id="125" w:name="_Toc332298855"/>
      <w:bookmarkStart w:id="126" w:name="_Toc332299140"/>
      <w:bookmarkStart w:id="127" w:name="_Toc332299419"/>
      <w:bookmarkStart w:id="128" w:name="_Toc332299700"/>
      <w:bookmarkStart w:id="129" w:name="_Toc332299979"/>
      <w:bookmarkStart w:id="130" w:name="_Toc332298381"/>
      <w:bookmarkStart w:id="131" w:name="_Toc332298857"/>
      <w:bookmarkStart w:id="132" w:name="_Toc332299142"/>
      <w:bookmarkStart w:id="133" w:name="_Toc332299421"/>
      <w:bookmarkStart w:id="134" w:name="_Toc332299702"/>
      <w:bookmarkStart w:id="135" w:name="_Toc332299981"/>
      <w:bookmarkStart w:id="136" w:name="_Toc332298390"/>
      <w:bookmarkStart w:id="137" w:name="_Toc332298866"/>
      <w:bookmarkStart w:id="138" w:name="_Toc332299151"/>
      <w:bookmarkStart w:id="139" w:name="_Toc332299430"/>
      <w:bookmarkStart w:id="140" w:name="_Toc332299711"/>
      <w:bookmarkStart w:id="141" w:name="_Toc332299990"/>
      <w:bookmarkStart w:id="142" w:name="_Toc332298395"/>
      <w:bookmarkStart w:id="143" w:name="_Toc332298871"/>
      <w:bookmarkStart w:id="144" w:name="_Toc332299156"/>
      <w:bookmarkStart w:id="145" w:name="_Toc332299435"/>
      <w:bookmarkStart w:id="146" w:name="_Toc332299716"/>
      <w:bookmarkStart w:id="147" w:name="_Toc332299995"/>
      <w:bookmarkStart w:id="148" w:name="_Toc332298396"/>
      <w:bookmarkStart w:id="149" w:name="_Toc332298872"/>
      <w:bookmarkStart w:id="150" w:name="_Toc332299157"/>
      <w:bookmarkStart w:id="151" w:name="_Toc332299436"/>
      <w:bookmarkStart w:id="152" w:name="_Toc332299717"/>
      <w:bookmarkStart w:id="153" w:name="_Toc332299996"/>
      <w:bookmarkStart w:id="154" w:name="_Toc332298397"/>
      <w:bookmarkStart w:id="155" w:name="_Toc332298873"/>
      <w:bookmarkStart w:id="156" w:name="_Toc332299158"/>
      <w:bookmarkStart w:id="157" w:name="_Toc332299437"/>
      <w:bookmarkStart w:id="158" w:name="_Toc332299718"/>
      <w:bookmarkStart w:id="159" w:name="_Toc332299997"/>
      <w:bookmarkStart w:id="160" w:name="_Toc332298398"/>
      <w:bookmarkStart w:id="161" w:name="_Toc332298874"/>
      <w:bookmarkStart w:id="162" w:name="_Toc332299159"/>
      <w:bookmarkStart w:id="163" w:name="_Toc332299438"/>
      <w:bookmarkStart w:id="164" w:name="_Toc332299719"/>
      <w:bookmarkStart w:id="165" w:name="_Toc332299998"/>
      <w:bookmarkStart w:id="166" w:name="_Toc332298401"/>
      <w:bookmarkStart w:id="167" w:name="_Toc332298877"/>
      <w:bookmarkStart w:id="168" w:name="_Toc332299162"/>
      <w:bookmarkStart w:id="169" w:name="_Toc332299441"/>
      <w:bookmarkStart w:id="170" w:name="_Toc332299722"/>
      <w:bookmarkStart w:id="171" w:name="_Toc332300001"/>
      <w:bookmarkStart w:id="172" w:name="_Toc332298403"/>
      <w:bookmarkStart w:id="173" w:name="_Toc332298879"/>
      <w:bookmarkStart w:id="174" w:name="_Toc332299164"/>
      <w:bookmarkStart w:id="175" w:name="_Toc332299443"/>
      <w:bookmarkStart w:id="176" w:name="_Toc332299724"/>
      <w:bookmarkStart w:id="177" w:name="_Toc332300003"/>
      <w:bookmarkStart w:id="178" w:name="_Toc325387326"/>
      <w:bookmarkStart w:id="179" w:name="_Toc325387449"/>
      <w:bookmarkStart w:id="180" w:name="_Toc325390289"/>
      <w:bookmarkStart w:id="181" w:name="_Toc332298405"/>
      <w:bookmarkStart w:id="182" w:name="_Toc332298881"/>
      <w:bookmarkStart w:id="183" w:name="_Toc332299166"/>
      <w:bookmarkStart w:id="184" w:name="_Toc332299445"/>
      <w:bookmarkStart w:id="185" w:name="_Toc332299726"/>
      <w:bookmarkStart w:id="186" w:name="_Toc332300005"/>
      <w:bookmarkStart w:id="187" w:name="_Toc325387331"/>
      <w:bookmarkStart w:id="188" w:name="_Toc325387454"/>
      <w:bookmarkStart w:id="189" w:name="_Toc325390294"/>
      <w:bookmarkStart w:id="190" w:name="_Toc332298410"/>
      <w:bookmarkStart w:id="191" w:name="_Toc332298886"/>
      <w:bookmarkStart w:id="192" w:name="_Toc332299171"/>
      <w:bookmarkStart w:id="193" w:name="_Toc332299450"/>
      <w:bookmarkStart w:id="194" w:name="_Toc332299731"/>
      <w:bookmarkStart w:id="195" w:name="_Toc332300010"/>
      <w:bookmarkStart w:id="196" w:name="_Toc325387334"/>
      <w:bookmarkStart w:id="197" w:name="_Toc325387457"/>
      <w:bookmarkStart w:id="198" w:name="_Toc325390297"/>
      <w:bookmarkStart w:id="199" w:name="_Toc332298413"/>
      <w:bookmarkStart w:id="200" w:name="_Toc332298889"/>
      <w:bookmarkStart w:id="201" w:name="_Toc332299174"/>
      <w:bookmarkStart w:id="202" w:name="_Toc332299453"/>
      <w:bookmarkStart w:id="203" w:name="_Toc332299734"/>
      <w:bookmarkStart w:id="204" w:name="_Toc332300013"/>
      <w:bookmarkStart w:id="205" w:name="_Toc325387339"/>
      <w:bookmarkStart w:id="206" w:name="_Toc325387462"/>
      <w:bookmarkStart w:id="207" w:name="_Toc325390302"/>
      <w:bookmarkStart w:id="208" w:name="_Toc332298418"/>
      <w:bookmarkStart w:id="209" w:name="_Toc332298894"/>
      <w:bookmarkStart w:id="210" w:name="_Toc332299179"/>
      <w:bookmarkStart w:id="211" w:name="_Toc332299458"/>
      <w:bookmarkStart w:id="212" w:name="_Toc332299739"/>
      <w:bookmarkStart w:id="213" w:name="_Toc332300018"/>
      <w:bookmarkStart w:id="214" w:name="_Toc325387342"/>
      <w:bookmarkStart w:id="215" w:name="_Toc325387465"/>
      <w:bookmarkStart w:id="216" w:name="_Toc325390305"/>
      <w:bookmarkStart w:id="217" w:name="_Toc332298421"/>
      <w:bookmarkStart w:id="218" w:name="_Toc332298897"/>
      <w:bookmarkStart w:id="219" w:name="_Toc332299182"/>
      <w:bookmarkStart w:id="220" w:name="_Toc332299461"/>
      <w:bookmarkStart w:id="221" w:name="_Toc332299742"/>
      <w:bookmarkStart w:id="222" w:name="_Toc332300021"/>
      <w:bookmarkStart w:id="223" w:name="_Toc325387347"/>
      <w:bookmarkStart w:id="224" w:name="_Toc325387470"/>
      <w:bookmarkStart w:id="225" w:name="_Toc325390310"/>
      <w:bookmarkStart w:id="226" w:name="_Toc332298426"/>
      <w:bookmarkStart w:id="227" w:name="_Toc332298902"/>
      <w:bookmarkStart w:id="228" w:name="_Toc332299187"/>
      <w:bookmarkStart w:id="229" w:name="_Toc332299466"/>
      <w:bookmarkStart w:id="230" w:name="_Toc332299747"/>
      <w:bookmarkStart w:id="231" w:name="_Toc332300026"/>
      <w:bookmarkStart w:id="232" w:name="_Toc325387350"/>
      <w:bookmarkStart w:id="233" w:name="_Toc325387473"/>
      <w:bookmarkStart w:id="234" w:name="_Toc325390313"/>
      <w:bookmarkStart w:id="235" w:name="_Toc332298429"/>
      <w:bookmarkStart w:id="236" w:name="_Toc332298905"/>
      <w:bookmarkStart w:id="237" w:name="_Toc332299190"/>
      <w:bookmarkStart w:id="238" w:name="_Toc332299469"/>
      <w:bookmarkStart w:id="239" w:name="_Toc332299750"/>
      <w:bookmarkStart w:id="240" w:name="_Toc332300029"/>
      <w:bookmarkStart w:id="241" w:name="_Toc325387355"/>
      <w:bookmarkStart w:id="242" w:name="_Toc325387478"/>
      <w:bookmarkStart w:id="243" w:name="_Toc325390318"/>
      <w:bookmarkStart w:id="244" w:name="_Toc332298434"/>
      <w:bookmarkStart w:id="245" w:name="_Toc332298910"/>
      <w:bookmarkStart w:id="246" w:name="_Toc332299195"/>
      <w:bookmarkStart w:id="247" w:name="_Toc332299474"/>
      <w:bookmarkStart w:id="248" w:name="_Toc332299755"/>
      <w:bookmarkStart w:id="249" w:name="_Toc332300034"/>
      <w:bookmarkStart w:id="250" w:name="_Toc325387358"/>
      <w:bookmarkStart w:id="251" w:name="_Toc325387481"/>
      <w:bookmarkStart w:id="252" w:name="_Toc325390321"/>
      <w:bookmarkStart w:id="253" w:name="_Toc332298437"/>
      <w:bookmarkStart w:id="254" w:name="_Toc332298913"/>
      <w:bookmarkStart w:id="255" w:name="_Toc332299198"/>
      <w:bookmarkStart w:id="256" w:name="_Toc332299477"/>
      <w:bookmarkStart w:id="257" w:name="_Toc332299758"/>
      <w:bookmarkStart w:id="258" w:name="_Toc332300037"/>
      <w:bookmarkStart w:id="259" w:name="_Toc325387363"/>
      <w:bookmarkStart w:id="260" w:name="_Toc325387486"/>
      <w:bookmarkStart w:id="261" w:name="_Toc325390326"/>
      <w:bookmarkStart w:id="262" w:name="_Toc332298442"/>
      <w:bookmarkStart w:id="263" w:name="_Toc332298918"/>
      <w:bookmarkStart w:id="264" w:name="_Toc332299203"/>
      <w:bookmarkStart w:id="265" w:name="_Toc332299482"/>
      <w:bookmarkStart w:id="266" w:name="_Toc332299763"/>
      <w:bookmarkStart w:id="267" w:name="_Toc332300042"/>
      <w:bookmarkStart w:id="268" w:name="_Toc325387366"/>
      <w:bookmarkStart w:id="269" w:name="_Toc325387489"/>
      <w:bookmarkStart w:id="270" w:name="_Toc325390329"/>
      <w:bookmarkStart w:id="271" w:name="_Toc332298445"/>
      <w:bookmarkStart w:id="272" w:name="_Toc332298921"/>
      <w:bookmarkStart w:id="273" w:name="_Toc332299206"/>
      <w:bookmarkStart w:id="274" w:name="_Toc332299485"/>
      <w:bookmarkStart w:id="275" w:name="_Toc332299766"/>
      <w:bookmarkStart w:id="276" w:name="_Toc332300045"/>
      <w:bookmarkStart w:id="277" w:name="_Toc325387371"/>
      <w:bookmarkStart w:id="278" w:name="_Toc325387494"/>
      <w:bookmarkStart w:id="279" w:name="_Toc325390334"/>
      <w:bookmarkStart w:id="280" w:name="_Toc332298450"/>
      <w:bookmarkStart w:id="281" w:name="_Toc332298926"/>
      <w:bookmarkStart w:id="282" w:name="_Toc332299211"/>
      <w:bookmarkStart w:id="283" w:name="_Toc332299490"/>
      <w:bookmarkStart w:id="284" w:name="_Toc332299771"/>
      <w:bookmarkStart w:id="285" w:name="_Toc332300050"/>
      <w:bookmarkStart w:id="286" w:name="_Toc325387374"/>
      <w:bookmarkStart w:id="287" w:name="_Toc325387497"/>
      <w:bookmarkStart w:id="288" w:name="_Toc325390337"/>
      <w:bookmarkStart w:id="289" w:name="_Toc332298453"/>
      <w:bookmarkStart w:id="290" w:name="_Toc332298929"/>
      <w:bookmarkStart w:id="291" w:name="_Toc332299214"/>
      <w:bookmarkStart w:id="292" w:name="_Toc332299493"/>
      <w:bookmarkStart w:id="293" w:name="_Toc332299774"/>
      <w:bookmarkStart w:id="294" w:name="_Toc332300053"/>
      <w:bookmarkStart w:id="295" w:name="_Toc325387380"/>
      <w:bookmarkStart w:id="296" w:name="_Toc325387503"/>
      <w:bookmarkStart w:id="297" w:name="_Toc325390343"/>
      <w:bookmarkStart w:id="298" w:name="_Toc332298459"/>
      <w:bookmarkStart w:id="299" w:name="_Toc332298935"/>
      <w:bookmarkStart w:id="300" w:name="_Toc332299220"/>
      <w:bookmarkStart w:id="301" w:name="_Toc332299499"/>
      <w:bookmarkStart w:id="302" w:name="_Toc332299780"/>
      <w:bookmarkStart w:id="303" w:name="_Toc332300059"/>
      <w:bookmarkStart w:id="304" w:name="_Toc325387383"/>
      <w:bookmarkStart w:id="305" w:name="_Toc325387506"/>
      <w:bookmarkStart w:id="306" w:name="_Toc325390346"/>
      <w:bookmarkStart w:id="307" w:name="_Toc332298462"/>
      <w:bookmarkStart w:id="308" w:name="_Toc332298938"/>
      <w:bookmarkStart w:id="309" w:name="_Toc332299223"/>
      <w:bookmarkStart w:id="310" w:name="_Toc332299502"/>
      <w:bookmarkStart w:id="311" w:name="_Toc332299783"/>
      <w:bookmarkStart w:id="312" w:name="_Toc332300062"/>
      <w:bookmarkStart w:id="313" w:name="_Toc325387386"/>
      <w:bookmarkStart w:id="314" w:name="_Toc325387509"/>
      <w:bookmarkStart w:id="315" w:name="_Toc325390349"/>
      <w:bookmarkStart w:id="316" w:name="_Toc332298465"/>
      <w:bookmarkStart w:id="317" w:name="_Toc332298941"/>
      <w:bookmarkStart w:id="318" w:name="_Toc332299226"/>
      <w:bookmarkStart w:id="319" w:name="_Toc332299505"/>
      <w:bookmarkStart w:id="320" w:name="_Toc332299786"/>
      <w:bookmarkStart w:id="321" w:name="_Toc332300065"/>
      <w:bookmarkStart w:id="322" w:name="_Toc325387389"/>
      <w:bookmarkStart w:id="323" w:name="_Toc325387512"/>
      <w:bookmarkStart w:id="324" w:name="_Toc325390352"/>
      <w:bookmarkStart w:id="325" w:name="_Toc332298468"/>
      <w:bookmarkStart w:id="326" w:name="_Toc332298944"/>
      <w:bookmarkStart w:id="327" w:name="_Toc332299229"/>
      <w:bookmarkStart w:id="328" w:name="_Toc332299508"/>
      <w:bookmarkStart w:id="329" w:name="_Toc332299789"/>
      <w:bookmarkStart w:id="330" w:name="_Toc332300068"/>
      <w:bookmarkStart w:id="331" w:name="_Toc325387394"/>
      <w:bookmarkStart w:id="332" w:name="_Toc325387517"/>
      <w:bookmarkStart w:id="333" w:name="_Toc325390357"/>
      <w:bookmarkStart w:id="334" w:name="_Toc332298473"/>
      <w:bookmarkStart w:id="335" w:name="_Toc332298949"/>
      <w:bookmarkStart w:id="336" w:name="_Toc332299234"/>
      <w:bookmarkStart w:id="337" w:name="_Toc332299513"/>
      <w:bookmarkStart w:id="338" w:name="_Toc332299794"/>
      <w:bookmarkStart w:id="339" w:name="_Toc332300073"/>
      <w:bookmarkStart w:id="340" w:name="_Toc332298476"/>
      <w:bookmarkStart w:id="341" w:name="_Toc332298952"/>
      <w:bookmarkStart w:id="342" w:name="_Toc332299237"/>
      <w:bookmarkStart w:id="343" w:name="_Toc332299516"/>
      <w:bookmarkStart w:id="344" w:name="_Toc332299797"/>
      <w:bookmarkStart w:id="345" w:name="_Toc332300076"/>
      <w:bookmarkStart w:id="346" w:name="_Toc332298480"/>
      <w:bookmarkStart w:id="347" w:name="_Toc332298956"/>
      <w:bookmarkStart w:id="348" w:name="_Toc332299241"/>
      <w:bookmarkStart w:id="349" w:name="_Toc332299520"/>
      <w:bookmarkStart w:id="350" w:name="_Toc332299801"/>
      <w:bookmarkStart w:id="351" w:name="_Toc332300080"/>
      <w:bookmarkStart w:id="352" w:name="_Toc332298484"/>
      <w:bookmarkStart w:id="353" w:name="_Toc332298960"/>
      <w:bookmarkStart w:id="354" w:name="_Toc332299245"/>
      <w:bookmarkStart w:id="355" w:name="_Toc332299524"/>
      <w:bookmarkStart w:id="356" w:name="_Toc332299805"/>
      <w:bookmarkStart w:id="357" w:name="_Toc332300084"/>
      <w:bookmarkStart w:id="358" w:name="_Toc332298486"/>
      <w:bookmarkStart w:id="359" w:name="_Toc332298962"/>
      <w:bookmarkStart w:id="360" w:name="_Toc332299247"/>
      <w:bookmarkStart w:id="361" w:name="_Toc332299526"/>
      <w:bookmarkStart w:id="362" w:name="_Toc332299807"/>
      <w:bookmarkStart w:id="363" w:name="_Toc332300086"/>
      <w:bookmarkStart w:id="364" w:name="_Toc332298490"/>
      <w:bookmarkStart w:id="365" w:name="_Toc332298966"/>
      <w:bookmarkStart w:id="366" w:name="_Toc332299251"/>
      <w:bookmarkStart w:id="367" w:name="_Toc332299530"/>
      <w:bookmarkStart w:id="368" w:name="_Toc332299811"/>
      <w:bookmarkStart w:id="369" w:name="_Toc332300090"/>
      <w:bookmarkStart w:id="370" w:name="_Toc332298494"/>
      <w:bookmarkStart w:id="371" w:name="_Toc332298970"/>
      <w:bookmarkStart w:id="372" w:name="_Toc332299255"/>
      <w:bookmarkStart w:id="373" w:name="_Toc332299534"/>
      <w:bookmarkStart w:id="374" w:name="_Toc332299815"/>
      <w:bookmarkStart w:id="375" w:name="_Toc332300094"/>
      <w:bookmarkStart w:id="376" w:name="_Toc332298495"/>
      <w:bookmarkStart w:id="377" w:name="_Toc332298971"/>
      <w:bookmarkStart w:id="378" w:name="_Toc332299256"/>
      <w:bookmarkStart w:id="379" w:name="_Toc332299535"/>
      <w:bookmarkStart w:id="380" w:name="_Toc332299816"/>
      <w:bookmarkStart w:id="381" w:name="_Toc332300095"/>
      <w:bookmarkStart w:id="382" w:name="_Toc332298498"/>
      <w:bookmarkStart w:id="383" w:name="_Toc332298974"/>
      <w:bookmarkStart w:id="384" w:name="_Toc332299259"/>
      <w:bookmarkStart w:id="385" w:name="_Toc332299538"/>
      <w:bookmarkStart w:id="386" w:name="_Toc332299819"/>
      <w:bookmarkStart w:id="387" w:name="_Toc332300098"/>
      <w:bookmarkStart w:id="388" w:name="_Toc325387398"/>
      <w:bookmarkStart w:id="389" w:name="_Toc325387521"/>
      <w:bookmarkStart w:id="390" w:name="_Toc325390360"/>
      <w:bookmarkStart w:id="391" w:name="_Toc332296711"/>
      <w:bookmarkStart w:id="392" w:name="_Toc332297497"/>
      <w:bookmarkStart w:id="393" w:name="_Toc332298499"/>
      <w:bookmarkStart w:id="394" w:name="_Toc332298975"/>
      <w:bookmarkStart w:id="395" w:name="_Toc332299260"/>
      <w:bookmarkStart w:id="396" w:name="_Toc332299539"/>
      <w:bookmarkStart w:id="397" w:name="_Toc332299820"/>
      <w:bookmarkStart w:id="398" w:name="_Toc332300099"/>
      <w:bookmarkStart w:id="399" w:name="_Toc325387402"/>
      <w:bookmarkStart w:id="400" w:name="_Toc325387525"/>
      <w:bookmarkStart w:id="401" w:name="_Toc325390364"/>
      <w:bookmarkStart w:id="402" w:name="_Toc332296715"/>
      <w:bookmarkStart w:id="403" w:name="_Toc332297501"/>
      <w:bookmarkStart w:id="404" w:name="_Toc332298503"/>
      <w:bookmarkStart w:id="405" w:name="_Toc332298979"/>
      <w:bookmarkStart w:id="406" w:name="_Toc332299264"/>
      <w:bookmarkStart w:id="407" w:name="_Toc332299543"/>
      <w:bookmarkStart w:id="408" w:name="_Toc332299824"/>
      <w:bookmarkStart w:id="409" w:name="_Toc332300103"/>
      <w:bookmarkStart w:id="410" w:name="_Toc325387405"/>
      <w:bookmarkStart w:id="411" w:name="_Toc325387528"/>
      <w:bookmarkStart w:id="412" w:name="_Toc325390367"/>
      <w:bookmarkStart w:id="413" w:name="_Toc332296718"/>
      <w:bookmarkStart w:id="414" w:name="_Toc332297504"/>
      <w:bookmarkStart w:id="415" w:name="_Toc332298506"/>
      <w:bookmarkStart w:id="416" w:name="_Toc332298982"/>
      <w:bookmarkStart w:id="417" w:name="_Toc332299267"/>
      <w:bookmarkStart w:id="418" w:name="_Toc332299546"/>
      <w:bookmarkStart w:id="419" w:name="_Toc332299827"/>
      <w:bookmarkStart w:id="420" w:name="_Toc332300106"/>
      <w:bookmarkStart w:id="421" w:name="_Toc325387408"/>
      <w:bookmarkStart w:id="422" w:name="_Toc325387531"/>
      <w:bookmarkStart w:id="423" w:name="_Toc325390370"/>
      <w:bookmarkStart w:id="424" w:name="_Toc332296721"/>
      <w:bookmarkStart w:id="425" w:name="_Toc332297507"/>
      <w:bookmarkStart w:id="426" w:name="_Toc332298509"/>
      <w:bookmarkStart w:id="427" w:name="_Toc332298985"/>
      <w:bookmarkStart w:id="428" w:name="_Toc332299270"/>
      <w:bookmarkStart w:id="429" w:name="_Toc332299549"/>
      <w:bookmarkStart w:id="430" w:name="_Toc332299830"/>
      <w:bookmarkStart w:id="431" w:name="_Toc332300109"/>
      <w:bookmarkStart w:id="432" w:name="_Toc325387411"/>
      <w:bookmarkStart w:id="433" w:name="_Toc325387534"/>
      <w:bookmarkStart w:id="434" w:name="_Toc325390373"/>
      <w:bookmarkStart w:id="435" w:name="_Toc332296724"/>
      <w:bookmarkStart w:id="436" w:name="_Toc332297510"/>
      <w:bookmarkStart w:id="437" w:name="_Toc332298512"/>
      <w:bookmarkStart w:id="438" w:name="_Toc332298988"/>
      <w:bookmarkStart w:id="439" w:name="_Toc332299273"/>
      <w:bookmarkStart w:id="440" w:name="_Toc332299552"/>
      <w:bookmarkStart w:id="441" w:name="_Toc332299833"/>
      <w:bookmarkStart w:id="442" w:name="_Toc332300112"/>
      <w:bookmarkStart w:id="443" w:name="_Toc325387416"/>
      <w:bookmarkStart w:id="444" w:name="_Toc325387539"/>
      <w:bookmarkStart w:id="445" w:name="_Toc325390378"/>
      <w:bookmarkStart w:id="446" w:name="_Toc332296729"/>
      <w:bookmarkStart w:id="447" w:name="_Toc332297515"/>
      <w:bookmarkStart w:id="448" w:name="_Toc332298517"/>
      <w:bookmarkStart w:id="449" w:name="_Toc332298993"/>
      <w:bookmarkStart w:id="450" w:name="_Toc332299278"/>
      <w:bookmarkStart w:id="451" w:name="_Toc332299557"/>
      <w:bookmarkStart w:id="452" w:name="_Toc332299838"/>
      <w:bookmarkStart w:id="453" w:name="_Toc332300117"/>
      <w:bookmarkStart w:id="454" w:name="_Toc325387417"/>
      <w:bookmarkStart w:id="455" w:name="_Toc325387540"/>
      <w:bookmarkStart w:id="456" w:name="_Toc325390379"/>
      <w:bookmarkStart w:id="457" w:name="_Toc332296730"/>
      <w:bookmarkStart w:id="458" w:name="_Toc332297516"/>
      <w:bookmarkStart w:id="459" w:name="_Toc332298518"/>
      <w:bookmarkStart w:id="460" w:name="_Toc332298994"/>
      <w:bookmarkStart w:id="461" w:name="_Toc332299279"/>
      <w:bookmarkStart w:id="462" w:name="_Toc332299558"/>
      <w:bookmarkStart w:id="463" w:name="_Toc332299839"/>
      <w:bookmarkStart w:id="464" w:name="_Toc33230011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</w:p>
    <w:p w14:paraId="02C23044" w14:textId="1FC53BCB" w:rsidR="00682974" w:rsidRPr="00B15DFA" w:rsidRDefault="00077128" w:rsidP="00B15DFA">
      <w:pPr>
        <w:pStyle w:val="HeadingcentredAgency"/>
        <w:jc w:val="both"/>
        <w:rPr>
          <w:color w:val="008000"/>
          <w:sz w:val="28"/>
          <w:szCs w:val="28"/>
          <w:lang w:val="pl-PL"/>
        </w:rPr>
      </w:pPr>
      <w:r>
        <w:rPr>
          <w:rFonts w:eastAsia="Times New Roman"/>
          <w:sz w:val="28"/>
          <w:szCs w:val="28"/>
          <w:lang w:val="pl-PL" w:eastAsia="fr-LU"/>
        </w:rPr>
        <w:t>Streszczenie</w:t>
      </w:r>
      <w:r w:rsidRPr="00C34A25">
        <w:rPr>
          <w:rFonts w:eastAsia="Times New Roman"/>
          <w:sz w:val="28"/>
          <w:szCs w:val="28"/>
          <w:lang w:val="pl-PL" w:eastAsia="fr-LU"/>
        </w:rPr>
        <w:t xml:space="preserve"> </w:t>
      </w:r>
      <w:r w:rsidR="00682974" w:rsidRPr="00C34A25">
        <w:rPr>
          <w:rFonts w:eastAsia="Times New Roman"/>
          <w:sz w:val="28"/>
          <w:szCs w:val="28"/>
          <w:lang w:val="pl-PL" w:eastAsia="fr-LU"/>
        </w:rPr>
        <w:t>planu zarządzania ryzykiem dla</w:t>
      </w:r>
      <w:r>
        <w:rPr>
          <w:rFonts w:eastAsia="Times New Roman"/>
          <w:sz w:val="28"/>
          <w:szCs w:val="28"/>
          <w:lang w:val="pl-PL" w:eastAsia="fr-LU"/>
        </w:rPr>
        <w:t xml:space="preserve"> produktu leczniczego</w:t>
      </w:r>
      <w:r w:rsidR="00E00541">
        <w:rPr>
          <w:rFonts w:eastAsia="Times New Roman"/>
          <w:sz w:val="28"/>
          <w:szCs w:val="28"/>
          <w:lang w:val="pl-PL" w:eastAsia="fr-LU"/>
        </w:rPr>
        <w:t xml:space="preserve"> </w:t>
      </w:r>
      <w:proofErr w:type="spellStart"/>
      <w:r w:rsidR="00B15DFA" w:rsidRPr="00B15DFA">
        <w:rPr>
          <w:rFonts w:eastAsia="Times New Roman"/>
          <w:sz w:val="28"/>
          <w:szCs w:val="28"/>
          <w:lang w:val="pl-PL" w:eastAsia="fr-LU"/>
        </w:rPr>
        <w:t>Adrimax</w:t>
      </w:r>
      <w:proofErr w:type="spellEnd"/>
      <w:r w:rsidR="00DE6889">
        <w:rPr>
          <w:rFonts w:eastAsia="Times New Roman"/>
          <w:sz w:val="28"/>
          <w:szCs w:val="28"/>
          <w:lang w:val="pl-PL" w:eastAsia="fr-LU"/>
        </w:rPr>
        <w:t xml:space="preserve"> </w:t>
      </w:r>
      <w:r>
        <w:rPr>
          <w:rFonts w:eastAsia="Times New Roman"/>
          <w:sz w:val="28"/>
          <w:szCs w:val="28"/>
          <w:lang w:val="pl-PL" w:eastAsia="fr-LU"/>
        </w:rPr>
        <w:t>(</w:t>
      </w:r>
      <w:proofErr w:type="spellStart"/>
      <w:r w:rsidR="000649F1" w:rsidRPr="000649F1">
        <w:rPr>
          <w:rFonts w:eastAsia="Times New Roman"/>
          <w:sz w:val="28"/>
          <w:szCs w:val="28"/>
          <w:lang w:val="pl-PL" w:eastAsia="fr-LU"/>
        </w:rPr>
        <w:t>Levodropropizine</w:t>
      </w:r>
      <w:proofErr w:type="spellEnd"/>
      <w:r>
        <w:rPr>
          <w:rFonts w:eastAsia="Times New Roman"/>
          <w:sz w:val="28"/>
          <w:szCs w:val="28"/>
          <w:lang w:val="pl-PL" w:eastAsia="fr-LU"/>
        </w:rPr>
        <w:t>)</w:t>
      </w:r>
      <w:r w:rsidR="00682974" w:rsidRPr="00C34A25">
        <w:rPr>
          <w:rFonts w:eastAsia="Times New Roman"/>
          <w:sz w:val="28"/>
          <w:szCs w:val="28"/>
          <w:lang w:val="pl-PL" w:eastAsia="fr-LU"/>
        </w:rPr>
        <w:t xml:space="preserve"> </w:t>
      </w:r>
    </w:p>
    <w:p w14:paraId="2DA8F6F8" w14:textId="2FA9BDB5" w:rsidR="008C75A2" w:rsidRPr="00D65E29" w:rsidRDefault="00840A37" w:rsidP="001D2166">
      <w:pPr>
        <w:pStyle w:val="BodytextAgency"/>
        <w:jc w:val="both"/>
        <w:rPr>
          <w:lang w:val="pl-PL"/>
        </w:rPr>
      </w:pPr>
      <w:r w:rsidRPr="00D65E29">
        <w:rPr>
          <w:lang w:val="pl-PL"/>
        </w:rPr>
        <w:t xml:space="preserve">To jest </w:t>
      </w:r>
      <w:r w:rsidR="00077128">
        <w:rPr>
          <w:lang w:val="pl-PL"/>
        </w:rPr>
        <w:t>streszczenie</w:t>
      </w:r>
      <w:r w:rsidR="00077128" w:rsidRPr="00D65E29">
        <w:rPr>
          <w:lang w:val="pl-PL"/>
        </w:rPr>
        <w:t xml:space="preserve"> </w:t>
      </w:r>
      <w:r w:rsidRPr="00D65E29">
        <w:rPr>
          <w:lang w:val="pl-PL"/>
        </w:rPr>
        <w:t>planu zarządzania ryzy</w:t>
      </w:r>
      <w:r w:rsidR="00D65E29" w:rsidRPr="00D65E29">
        <w:rPr>
          <w:lang w:val="pl-PL"/>
        </w:rPr>
        <w:t xml:space="preserve">kiem dla produktu leczniczego </w:t>
      </w:r>
      <w:proofErr w:type="spellStart"/>
      <w:r w:rsidR="00B15DFA">
        <w:rPr>
          <w:lang w:val="pl-PL"/>
        </w:rPr>
        <w:t>Adrimax</w:t>
      </w:r>
      <w:proofErr w:type="spellEnd"/>
      <w:r w:rsidR="00107CF3" w:rsidRPr="00D65E29">
        <w:rPr>
          <w:lang w:val="pl-PL"/>
        </w:rPr>
        <w:t xml:space="preserve">. Dokument opisuje w szczegółowy sposób istotne ryzyka związane ze stosowaniem produktu </w:t>
      </w:r>
      <w:proofErr w:type="spellStart"/>
      <w:r w:rsidR="00B15DFA">
        <w:rPr>
          <w:lang w:val="pl-PL"/>
        </w:rPr>
        <w:t>Adrimax</w:t>
      </w:r>
      <w:proofErr w:type="spellEnd"/>
      <w:r w:rsidR="00107CF3" w:rsidRPr="00D65E29">
        <w:rPr>
          <w:lang w:val="pl-PL"/>
        </w:rPr>
        <w:t>, w jaki sposób ryzyko można ograniczyć</w:t>
      </w:r>
      <w:r w:rsidR="001D2166">
        <w:rPr>
          <w:lang w:val="pl-PL"/>
        </w:rPr>
        <w:t>,</w:t>
      </w:r>
      <w:r w:rsidR="00107CF3" w:rsidRPr="00D65E29">
        <w:rPr>
          <w:lang w:val="pl-PL"/>
        </w:rPr>
        <w:t xml:space="preserve"> i jak pozyskać więcej </w:t>
      </w:r>
      <w:r w:rsidR="00FA79DB" w:rsidRPr="00D65E29">
        <w:rPr>
          <w:lang w:val="pl-PL"/>
        </w:rPr>
        <w:t xml:space="preserve">informacji </w:t>
      </w:r>
      <w:r w:rsidR="00107CF3" w:rsidRPr="00D65E29">
        <w:rPr>
          <w:lang w:val="pl-PL"/>
        </w:rPr>
        <w:t xml:space="preserve">o </w:t>
      </w:r>
      <w:r w:rsidR="007710DA" w:rsidRPr="00D65E29">
        <w:rPr>
          <w:lang w:val="pl-PL"/>
        </w:rPr>
        <w:t>zagrożeniach</w:t>
      </w:r>
      <w:r w:rsidR="00FA79DB" w:rsidRPr="00D65E29">
        <w:rPr>
          <w:lang w:val="pl-PL"/>
        </w:rPr>
        <w:t xml:space="preserve"> i </w:t>
      </w:r>
      <w:r w:rsidR="007710DA" w:rsidRPr="00D65E29">
        <w:rPr>
          <w:lang w:val="pl-PL"/>
        </w:rPr>
        <w:t>danych na temat brakując</w:t>
      </w:r>
      <w:r w:rsidR="00D65E29" w:rsidRPr="00D65E29">
        <w:rPr>
          <w:lang w:val="pl-PL"/>
        </w:rPr>
        <w:t>ych informacji</w:t>
      </w:r>
      <w:r w:rsidR="007710DA" w:rsidRPr="00D65E29">
        <w:rPr>
          <w:lang w:val="pl-PL"/>
        </w:rPr>
        <w:t xml:space="preserve"> </w:t>
      </w:r>
      <w:r w:rsidR="00FA79DB" w:rsidRPr="00D65E29">
        <w:rPr>
          <w:lang w:val="pl-PL"/>
        </w:rPr>
        <w:t xml:space="preserve">związanych z przyjmowaniem </w:t>
      </w:r>
      <w:r w:rsidR="00107CF3" w:rsidRPr="00D65E29">
        <w:rPr>
          <w:lang w:val="pl-PL"/>
        </w:rPr>
        <w:t>produk</w:t>
      </w:r>
      <w:r w:rsidR="00FA79DB" w:rsidRPr="00D65E29">
        <w:rPr>
          <w:lang w:val="pl-PL"/>
        </w:rPr>
        <w:t>tu</w:t>
      </w:r>
      <w:r w:rsidR="00107CF3" w:rsidRPr="00D65E29">
        <w:rPr>
          <w:lang w:val="pl-PL"/>
        </w:rPr>
        <w:t xml:space="preserve"> </w:t>
      </w:r>
      <w:r w:rsidR="001D2166">
        <w:rPr>
          <w:lang w:val="pl-PL"/>
        </w:rPr>
        <w:t xml:space="preserve">leczniczego </w:t>
      </w:r>
      <w:proofErr w:type="spellStart"/>
      <w:r w:rsidR="00B15DFA">
        <w:rPr>
          <w:lang w:val="pl-PL"/>
        </w:rPr>
        <w:t>Adrimax</w:t>
      </w:r>
      <w:proofErr w:type="spellEnd"/>
      <w:r w:rsidR="00FA79DB" w:rsidRPr="00D65E29">
        <w:rPr>
          <w:lang w:val="pl-PL"/>
        </w:rPr>
        <w:t>.</w:t>
      </w:r>
    </w:p>
    <w:p w14:paraId="46174828" w14:textId="060FFF46" w:rsidR="00B96B70" w:rsidRPr="00D65E29" w:rsidRDefault="00020300" w:rsidP="00E145DD">
      <w:pPr>
        <w:pStyle w:val="BodytextAgency"/>
        <w:jc w:val="both"/>
        <w:rPr>
          <w:lang w:val="pl-PL"/>
        </w:rPr>
      </w:pPr>
      <w:r w:rsidRPr="00D65E29">
        <w:rPr>
          <w:lang w:val="pl-PL"/>
        </w:rPr>
        <w:t xml:space="preserve">Charakterystyka </w:t>
      </w:r>
      <w:r w:rsidR="00706AA5" w:rsidRPr="00D65E29">
        <w:rPr>
          <w:lang w:val="pl-PL"/>
        </w:rPr>
        <w:t>p</w:t>
      </w:r>
      <w:r w:rsidR="00107CF3" w:rsidRPr="00D65E29">
        <w:rPr>
          <w:lang w:val="pl-PL"/>
        </w:rPr>
        <w:t>rodukt</w:t>
      </w:r>
      <w:r w:rsidR="00706AA5" w:rsidRPr="00D65E29">
        <w:rPr>
          <w:lang w:val="pl-PL"/>
        </w:rPr>
        <w:t>u</w:t>
      </w:r>
      <w:r w:rsidR="00107CF3" w:rsidRPr="00D65E29">
        <w:rPr>
          <w:lang w:val="pl-PL"/>
        </w:rPr>
        <w:t xml:space="preserve"> lecznicz</w:t>
      </w:r>
      <w:r w:rsidR="00706AA5" w:rsidRPr="00D65E29">
        <w:rPr>
          <w:lang w:val="pl-PL"/>
        </w:rPr>
        <w:t>ego</w:t>
      </w:r>
      <w:r w:rsidR="00107CF3" w:rsidRPr="00D65E29">
        <w:rPr>
          <w:lang w:val="pl-PL"/>
        </w:rPr>
        <w:t xml:space="preserve"> </w:t>
      </w:r>
      <w:proofErr w:type="spellStart"/>
      <w:r w:rsidR="00B15DFA">
        <w:rPr>
          <w:lang w:val="pl-PL"/>
        </w:rPr>
        <w:t>Adrimax</w:t>
      </w:r>
      <w:proofErr w:type="spellEnd"/>
      <w:r w:rsidR="00107CF3" w:rsidRPr="00D65E29">
        <w:rPr>
          <w:lang w:val="pl-PL"/>
        </w:rPr>
        <w:t xml:space="preserve"> </w:t>
      </w:r>
      <w:r w:rsidR="009C11F2" w:rsidRPr="00D65E29">
        <w:rPr>
          <w:lang w:val="pl-PL"/>
        </w:rPr>
        <w:t>i</w:t>
      </w:r>
      <w:r w:rsidR="00107CF3" w:rsidRPr="00D65E29">
        <w:rPr>
          <w:lang w:val="pl-PL"/>
        </w:rPr>
        <w:t xml:space="preserve"> ulotka</w:t>
      </w:r>
      <w:r w:rsidR="00706AA5" w:rsidRPr="00D65E29">
        <w:rPr>
          <w:lang w:val="pl-PL"/>
        </w:rPr>
        <w:t xml:space="preserve"> dla pacjenta</w:t>
      </w:r>
      <w:r w:rsidR="00107CF3" w:rsidRPr="00D65E29">
        <w:rPr>
          <w:lang w:val="pl-PL"/>
        </w:rPr>
        <w:t xml:space="preserve"> zawiera najważniejsze inform</w:t>
      </w:r>
      <w:r w:rsidR="009C11F2" w:rsidRPr="00D65E29">
        <w:rPr>
          <w:lang w:val="pl-PL"/>
        </w:rPr>
        <w:t>a</w:t>
      </w:r>
      <w:r w:rsidR="00107CF3" w:rsidRPr="00D65E29">
        <w:rPr>
          <w:lang w:val="pl-PL"/>
        </w:rPr>
        <w:t>cje dla osób wykonujących zawody medyczne i dla pacjentów</w:t>
      </w:r>
      <w:r w:rsidR="00893989" w:rsidRPr="00D65E29">
        <w:rPr>
          <w:lang w:val="pl-PL"/>
        </w:rPr>
        <w:t>,</w:t>
      </w:r>
      <w:r w:rsidR="00107CF3" w:rsidRPr="00D65E29">
        <w:rPr>
          <w:lang w:val="pl-PL"/>
        </w:rPr>
        <w:t xml:space="preserve"> jak </w:t>
      </w:r>
      <w:r w:rsidR="009C11F2" w:rsidRPr="00D65E29">
        <w:rPr>
          <w:lang w:val="pl-PL"/>
        </w:rPr>
        <w:t>produk</w:t>
      </w:r>
      <w:r w:rsidR="00107CF3" w:rsidRPr="00D65E29">
        <w:rPr>
          <w:lang w:val="pl-PL"/>
        </w:rPr>
        <w:t>t</w:t>
      </w:r>
      <w:r w:rsidR="001D2166">
        <w:rPr>
          <w:lang w:val="pl-PL"/>
        </w:rPr>
        <w:t xml:space="preserve"> leczniczy</w:t>
      </w:r>
      <w:r w:rsidR="00107CF3" w:rsidRPr="00D65E29">
        <w:rPr>
          <w:lang w:val="pl-PL"/>
        </w:rPr>
        <w:t xml:space="preserve"> </w:t>
      </w:r>
      <w:proofErr w:type="spellStart"/>
      <w:r w:rsidR="00B15DFA">
        <w:rPr>
          <w:lang w:val="pl-PL"/>
        </w:rPr>
        <w:t>Adrimax</w:t>
      </w:r>
      <w:proofErr w:type="spellEnd"/>
      <w:r w:rsidR="00107CF3" w:rsidRPr="00D65E29">
        <w:rPr>
          <w:lang w:val="pl-PL"/>
        </w:rPr>
        <w:t xml:space="preserve"> po</w:t>
      </w:r>
      <w:r w:rsidR="00D65E29" w:rsidRPr="00D65E29">
        <w:rPr>
          <w:lang w:val="pl-PL"/>
        </w:rPr>
        <w:t>winien być</w:t>
      </w:r>
      <w:r w:rsidR="00107CF3" w:rsidRPr="00D65E29">
        <w:rPr>
          <w:lang w:val="pl-PL"/>
        </w:rPr>
        <w:t xml:space="preserve"> st</w:t>
      </w:r>
      <w:r w:rsidR="00D65E29" w:rsidRPr="00D65E29">
        <w:rPr>
          <w:lang w:val="pl-PL"/>
        </w:rPr>
        <w:t>osowany.</w:t>
      </w:r>
    </w:p>
    <w:p w14:paraId="771104E2" w14:textId="77777777" w:rsidR="008C75A2" w:rsidRPr="00CC3992" w:rsidRDefault="00D81EA0" w:rsidP="0033275E">
      <w:pPr>
        <w:pStyle w:val="BodytextAgency"/>
        <w:numPr>
          <w:ilvl w:val="0"/>
          <w:numId w:val="98"/>
        </w:numPr>
        <w:tabs>
          <w:tab w:val="clear" w:pos="1080"/>
          <w:tab w:val="num" w:pos="630"/>
        </w:tabs>
        <w:spacing w:before="120"/>
        <w:ind w:left="1077" w:hanging="1077"/>
        <w:jc w:val="both"/>
        <w:rPr>
          <w:b/>
          <w:sz w:val="24"/>
          <w:szCs w:val="24"/>
        </w:rPr>
      </w:pPr>
      <w:r w:rsidRPr="00CC3992">
        <w:rPr>
          <w:b/>
          <w:sz w:val="24"/>
          <w:szCs w:val="24"/>
          <w:lang w:val="pl-PL"/>
        </w:rPr>
        <w:t>Informacje o produkcie i wskazani</w:t>
      </w:r>
      <w:r w:rsidR="0087765A" w:rsidRPr="00CC3992">
        <w:rPr>
          <w:b/>
          <w:sz w:val="24"/>
          <w:szCs w:val="24"/>
          <w:lang w:val="pl-PL"/>
        </w:rPr>
        <w:t>a</w:t>
      </w:r>
      <w:r w:rsidRPr="00CC3992">
        <w:rPr>
          <w:b/>
          <w:sz w:val="24"/>
          <w:szCs w:val="24"/>
          <w:lang w:val="pl-PL"/>
        </w:rPr>
        <w:t>ch do jego stosowania</w:t>
      </w:r>
    </w:p>
    <w:p w14:paraId="20CCE33A" w14:textId="2A52380D" w:rsidR="000617AD" w:rsidRPr="00CC3992" w:rsidRDefault="000649F1" w:rsidP="00CC3992">
      <w:pPr>
        <w:pStyle w:val="BodytextAgency"/>
        <w:jc w:val="both"/>
        <w:rPr>
          <w:color w:val="008000"/>
          <w:lang w:val="pl-PL"/>
        </w:rPr>
      </w:pPr>
      <w:proofErr w:type="spellStart"/>
      <w:r>
        <w:rPr>
          <w:lang w:val="pl-PL"/>
        </w:rPr>
        <w:t>Adrimax</w:t>
      </w:r>
      <w:proofErr w:type="spellEnd"/>
      <w:r>
        <w:rPr>
          <w:lang w:val="pl-PL"/>
        </w:rPr>
        <w:t>,</w:t>
      </w:r>
      <w:r w:rsidRPr="000649F1">
        <w:rPr>
          <w:lang w:val="pl-PL"/>
        </w:rPr>
        <w:t xml:space="preserve"> lek stosowany doustnie u dorosłych i dzieci w wieku powyżej 2 lat w celu leczenia objawów kaszlu</w:t>
      </w:r>
      <w:r>
        <w:rPr>
          <w:lang w:val="pl-PL"/>
        </w:rPr>
        <w:t xml:space="preserve">, </w:t>
      </w:r>
      <w:r w:rsidRPr="000649F1">
        <w:rPr>
          <w:lang w:val="pl-PL"/>
        </w:rPr>
        <w:t xml:space="preserve">zawiera </w:t>
      </w:r>
      <w:proofErr w:type="spellStart"/>
      <w:r w:rsidRPr="000649F1">
        <w:rPr>
          <w:lang w:val="pl-PL"/>
        </w:rPr>
        <w:t>lewodropropizynę</w:t>
      </w:r>
      <w:proofErr w:type="spellEnd"/>
      <w:r w:rsidRPr="000649F1">
        <w:rPr>
          <w:lang w:val="pl-PL"/>
        </w:rPr>
        <w:t xml:space="preserve">, </w:t>
      </w:r>
      <w:proofErr w:type="spellStart"/>
      <w:r w:rsidRPr="000649F1">
        <w:rPr>
          <w:lang w:val="pl-PL"/>
        </w:rPr>
        <w:t>Lewodropropizyna</w:t>
      </w:r>
      <w:proofErr w:type="spellEnd"/>
      <w:r w:rsidRPr="000649F1">
        <w:rPr>
          <w:lang w:val="pl-PL"/>
        </w:rPr>
        <w:t xml:space="preserve"> należy do grupy leków </w:t>
      </w:r>
      <w:r w:rsidR="007E240B">
        <w:rPr>
          <w:lang w:val="pl-PL"/>
        </w:rPr>
        <w:t>przeciwkaszlowych</w:t>
      </w:r>
      <w:r w:rsidRPr="000649F1">
        <w:rPr>
          <w:lang w:val="pl-PL"/>
        </w:rPr>
        <w:t xml:space="preserve">. </w:t>
      </w:r>
      <w:proofErr w:type="spellStart"/>
      <w:r w:rsidRPr="000649F1">
        <w:rPr>
          <w:lang w:val="pl-PL"/>
        </w:rPr>
        <w:t>Lewodropropizyna</w:t>
      </w:r>
      <w:proofErr w:type="spellEnd"/>
      <w:r w:rsidRPr="000649F1">
        <w:rPr>
          <w:lang w:val="pl-PL"/>
        </w:rPr>
        <w:t xml:space="preserve"> </w:t>
      </w:r>
      <w:r w:rsidR="00A45683">
        <w:rPr>
          <w:lang w:val="pl-PL"/>
        </w:rPr>
        <w:t>działa</w:t>
      </w:r>
      <w:r w:rsidRPr="000649F1">
        <w:rPr>
          <w:lang w:val="pl-PL"/>
        </w:rPr>
        <w:t xml:space="preserve"> poprzez zmniejszanie aktywności grupy nerwów zwanych włóknami C, tłumiąc w ten sposób towarzyszący odruch kaszlu.</w:t>
      </w:r>
    </w:p>
    <w:p w14:paraId="6F35F385" w14:textId="77777777" w:rsidR="008C75A2" w:rsidRPr="00CC3992" w:rsidRDefault="000617AD" w:rsidP="001D2166">
      <w:pPr>
        <w:pStyle w:val="BodytextAgency"/>
        <w:numPr>
          <w:ilvl w:val="0"/>
          <w:numId w:val="98"/>
        </w:numPr>
        <w:tabs>
          <w:tab w:val="clear" w:pos="1080"/>
          <w:tab w:val="num" w:pos="630"/>
        </w:tabs>
        <w:ind w:left="630" w:hanging="630"/>
        <w:jc w:val="both"/>
        <w:rPr>
          <w:b/>
          <w:sz w:val="24"/>
          <w:szCs w:val="24"/>
          <w:lang w:val="pl-PL"/>
        </w:rPr>
      </w:pPr>
      <w:r w:rsidRPr="00CC3992">
        <w:rPr>
          <w:b/>
          <w:sz w:val="24"/>
          <w:szCs w:val="24"/>
          <w:lang w:val="pl-PL"/>
        </w:rPr>
        <w:t>Ryzyko związane ze sto</w:t>
      </w:r>
      <w:r w:rsidR="0033275E">
        <w:rPr>
          <w:b/>
          <w:sz w:val="24"/>
          <w:szCs w:val="24"/>
          <w:lang w:val="pl-PL"/>
        </w:rPr>
        <w:t>sowaniem produktu leczniczego i </w:t>
      </w:r>
      <w:r w:rsidRPr="00CC3992">
        <w:rPr>
          <w:b/>
          <w:sz w:val="24"/>
          <w:szCs w:val="24"/>
          <w:lang w:val="pl-PL"/>
        </w:rPr>
        <w:t>aktywności jakie należy podjąć w celu zmniejszenia ryzyka lub dalszego j</w:t>
      </w:r>
      <w:r w:rsidR="007C2622">
        <w:rPr>
          <w:b/>
          <w:sz w:val="24"/>
          <w:szCs w:val="24"/>
          <w:lang w:val="pl-PL"/>
        </w:rPr>
        <w:t>ego scharakteryzowania</w:t>
      </w:r>
      <w:r w:rsidR="008C75A2" w:rsidRPr="00CC3992">
        <w:rPr>
          <w:b/>
          <w:sz w:val="24"/>
          <w:szCs w:val="24"/>
          <w:lang w:val="pl-PL"/>
        </w:rPr>
        <w:t xml:space="preserve"> </w:t>
      </w:r>
    </w:p>
    <w:p w14:paraId="03CC3227" w14:textId="15861A7A" w:rsidR="005B26F2" w:rsidRPr="00D06892" w:rsidRDefault="005B26F2" w:rsidP="001D2166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 xml:space="preserve">Istotne ryzyka produktu leczniczego </w:t>
      </w:r>
      <w:proofErr w:type="spellStart"/>
      <w:r w:rsidR="00B15DFA">
        <w:rPr>
          <w:lang w:val="pl-PL"/>
        </w:rPr>
        <w:t>Adrimax</w:t>
      </w:r>
      <w:proofErr w:type="spellEnd"/>
      <w:r w:rsidR="00D06892" w:rsidRPr="00D06892">
        <w:rPr>
          <w:lang w:val="pl-PL"/>
        </w:rPr>
        <w:t>, łącznie z działaniami</w:t>
      </w:r>
      <w:r w:rsidR="0069367B" w:rsidRPr="00D06892">
        <w:rPr>
          <w:lang w:val="pl-PL"/>
        </w:rPr>
        <w:t xml:space="preserve"> podejmowanymi w celu zm</w:t>
      </w:r>
      <w:r w:rsidR="00D06892" w:rsidRPr="00D06892">
        <w:rPr>
          <w:lang w:val="pl-PL"/>
        </w:rPr>
        <w:t>niejszenia tych</w:t>
      </w:r>
      <w:r w:rsidR="0069367B" w:rsidRPr="00D06892">
        <w:rPr>
          <w:lang w:val="pl-PL"/>
        </w:rPr>
        <w:t xml:space="preserve"> </w:t>
      </w:r>
      <w:proofErr w:type="spellStart"/>
      <w:r w:rsidR="0069367B" w:rsidRPr="00D06892">
        <w:rPr>
          <w:lang w:val="pl-PL"/>
        </w:rPr>
        <w:t>ryzyk</w:t>
      </w:r>
      <w:proofErr w:type="spellEnd"/>
      <w:r w:rsidR="0069367B" w:rsidRPr="00D06892">
        <w:rPr>
          <w:lang w:val="pl-PL"/>
        </w:rPr>
        <w:t xml:space="preserve"> i</w:t>
      </w:r>
      <w:r w:rsidR="00D06892" w:rsidRPr="00D06892">
        <w:rPr>
          <w:lang w:val="pl-PL"/>
        </w:rPr>
        <w:t xml:space="preserve"> propozycje badań </w:t>
      </w:r>
      <w:r w:rsidR="0069367B" w:rsidRPr="00D06892">
        <w:rPr>
          <w:lang w:val="pl-PL"/>
        </w:rPr>
        <w:t xml:space="preserve">umożliwiających </w:t>
      </w:r>
      <w:r w:rsidR="00E05B0A" w:rsidRPr="00D06892">
        <w:rPr>
          <w:lang w:val="pl-PL"/>
        </w:rPr>
        <w:t xml:space="preserve">lepsze </w:t>
      </w:r>
      <w:r w:rsidR="0069367B" w:rsidRPr="00D06892">
        <w:rPr>
          <w:lang w:val="pl-PL"/>
        </w:rPr>
        <w:t>poznanie</w:t>
      </w:r>
      <w:r w:rsidR="00152B70" w:rsidRPr="00D06892">
        <w:rPr>
          <w:lang w:val="pl-PL"/>
        </w:rPr>
        <w:t xml:space="preserve"> </w:t>
      </w:r>
      <w:r w:rsidR="00E05B0A" w:rsidRPr="00D06892">
        <w:rPr>
          <w:lang w:val="pl-PL"/>
        </w:rPr>
        <w:t xml:space="preserve">zagrożeń </w:t>
      </w:r>
      <w:r w:rsidR="00152B70" w:rsidRPr="00D06892">
        <w:rPr>
          <w:lang w:val="pl-PL"/>
        </w:rPr>
        <w:t xml:space="preserve">związanych ze stosowaniem produktu leczniczego </w:t>
      </w:r>
      <w:proofErr w:type="spellStart"/>
      <w:r w:rsidR="00B15DFA">
        <w:rPr>
          <w:lang w:val="pl-PL"/>
        </w:rPr>
        <w:t>Adrimax</w:t>
      </w:r>
      <w:proofErr w:type="spellEnd"/>
      <w:r w:rsidR="00152B70" w:rsidRPr="00D06892">
        <w:rPr>
          <w:lang w:val="pl-PL"/>
        </w:rPr>
        <w:t xml:space="preserve"> wymieniono poniżej</w:t>
      </w:r>
      <w:r w:rsidR="006F15AD" w:rsidRPr="00D06892">
        <w:rPr>
          <w:lang w:val="pl-PL"/>
        </w:rPr>
        <w:t>.</w:t>
      </w:r>
      <w:r w:rsidR="0069367B" w:rsidRPr="00D06892">
        <w:rPr>
          <w:lang w:val="pl-PL"/>
        </w:rPr>
        <w:t xml:space="preserve"> </w:t>
      </w:r>
    </w:p>
    <w:p w14:paraId="4BACA6F5" w14:textId="77777777" w:rsidR="00152B70" w:rsidRPr="00D06892" w:rsidRDefault="00A46606" w:rsidP="00CC3992">
      <w:pPr>
        <w:pStyle w:val="BodytextAgency"/>
        <w:jc w:val="both"/>
        <w:rPr>
          <w:lang w:val="pl-PL"/>
        </w:rPr>
      </w:pPr>
      <w:r>
        <w:rPr>
          <w:lang w:val="pl-PL"/>
        </w:rPr>
        <w:t>D</w:t>
      </w:r>
      <w:r w:rsidR="00152B70" w:rsidRPr="00D06892">
        <w:rPr>
          <w:lang w:val="pl-PL"/>
        </w:rPr>
        <w:t>ziałania podejmowane w celu zmniejszenia ryzyka to</w:t>
      </w:r>
      <w:r w:rsidR="00893989" w:rsidRPr="00D06892">
        <w:rPr>
          <w:lang w:val="pl-PL"/>
        </w:rPr>
        <w:t>:</w:t>
      </w:r>
    </w:p>
    <w:p w14:paraId="398DE5F6" w14:textId="77777777" w:rsidR="0010284D" w:rsidRPr="00D06892" w:rsidRDefault="0010284D" w:rsidP="001D2166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152B70" w:rsidRPr="00D06892">
        <w:rPr>
          <w:lang w:val="pl-PL"/>
        </w:rPr>
        <w:t>Specjalne informacje</w:t>
      </w:r>
      <w:r w:rsidR="00AC1279" w:rsidRPr="00D06892">
        <w:rPr>
          <w:lang w:val="pl-PL"/>
        </w:rPr>
        <w:t>,</w:t>
      </w:r>
      <w:r w:rsidR="00152B70" w:rsidRPr="00D06892">
        <w:rPr>
          <w:lang w:val="pl-PL"/>
        </w:rPr>
        <w:t xml:space="preserve"> takie jak ostrzeżenia i specjalne środki ostrożności, zalecenia odnoszące się do prawidłowego sposobu stosowania, zamieszczone w </w:t>
      </w:r>
      <w:r w:rsidR="00E05B0A" w:rsidRPr="00D06892">
        <w:rPr>
          <w:lang w:val="pl-PL"/>
        </w:rPr>
        <w:t>ulotce dla pacjenta</w:t>
      </w:r>
      <w:r w:rsidR="00152B70" w:rsidRPr="00D06892">
        <w:rPr>
          <w:lang w:val="pl-PL"/>
        </w:rPr>
        <w:t xml:space="preserve">, w </w:t>
      </w:r>
      <w:r w:rsidR="001D2166">
        <w:rPr>
          <w:lang w:val="pl-PL"/>
        </w:rPr>
        <w:t>Charakterystyce</w:t>
      </w:r>
      <w:r w:rsidR="001D2166" w:rsidRPr="00D65E29">
        <w:rPr>
          <w:lang w:val="pl-PL"/>
        </w:rPr>
        <w:t xml:space="preserve"> produktu leczniczego </w:t>
      </w:r>
      <w:r w:rsidR="00152B70" w:rsidRPr="00D06892">
        <w:rPr>
          <w:lang w:val="pl-PL"/>
        </w:rPr>
        <w:t>przeznaczonej dla osób wykonujących zawody medyczne</w:t>
      </w:r>
      <w:r w:rsidR="006F15AD" w:rsidRPr="00D06892">
        <w:rPr>
          <w:lang w:val="pl-PL"/>
        </w:rPr>
        <w:t>;</w:t>
      </w:r>
    </w:p>
    <w:p w14:paraId="13BBE9DC" w14:textId="77777777" w:rsidR="0010284D" w:rsidRPr="00D06892" w:rsidRDefault="0010284D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Pr="00D06892">
        <w:rPr>
          <w:lang w:val="pl-PL"/>
        </w:rPr>
        <w:t>Ważne zalecenia zamieszczone na opakowaniu leku</w:t>
      </w:r>
      <w:r w:rsidR="006F15AD" w:rsidRPr="00D06892">
        <w:rPr>
          <w:lang w:val="pl-PL"/>
        </w:rPr>
        <w:t>;</w:t>
      </w:r>
    </w:p>
    <w:p w14:paraId="2B074815" w14:textId="77777777" w:rsidR="0010284D" w:rsidRPr="00D06892" w:rsidRDefault="0010284D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6401EC" w:rsidRPr="00D06892">
        <w:rPr>
          <w:lang w:val="pl-PL"/>
        </w:rPr>
        <w:t xml:space="preserve">Zatwierdzenie </w:t>
      </w:r>
      <w:r w:rsidRPr="00D06892">
        <w:rPr>
          <w:lang w:val="pl-PL"/>
        </w:rPr>
        <w:t>odpowiedniej wielkości opakowania leku</w:t>
      </w:r>
      <w:r w:rsidR="00E05B0A" w:rsidRPr="00D06892">
        <w:rPr>
          <w:lang w:val="pl-PL"/>
        </w:rPr>
        <w:t>,</w:t>
      </w:r>
      <w:r w:rsidR="0022778D" w:rsidRPr="00D06892">
        <w:rPr>
          <w:lang w:val="pl-PL"/>
        </w:rPr>
        <w:t xml:space="preserve"> </w:t>
      </w:r>
      <w:r w:rsidR="006F15AD" w:rsidRPr="00D06892">
        <w:rPr>
          <w:lang w:val="pl-PL"/>
        </w:rPr>
        <w:t xml:space="preserve">zapewniające </w:t>
      </w:r>
      <w:r w:rsidRPr="00D06892">
        <w:rPr>
          <w:lang w:val="pl-PL"/>
        </w:rPr>
        <w:t>jego właściwe stosowanie</w:t>
      </w:r>
      <w:r w:rsidR="006F15AD" w:rsidRPr="00D06892">
        <w:rPr>
          <w:lang w:val="pl-PL"/>
        </w:rPr>
        <w:t>;</w:t>
      </w:r>
    </w:p>
    <w:p w14:paraId="51651915" w14:textId="77777777" w:rsidR="00801794" w:rsidRPr="00D06892" w:rsidRDefault="00AE7EC5" w:rsidP="00CC3992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●</w:t>
      </w:r>
      <w:r w:rsidR="0022778D" w:rsidRPr="00D06892">
        <w:rPr>
          <w:lang w:val="pl-PL"/>
        </w:rPr>
        <w:t xml:space="preserve"> </w:t>
      </w:r>
      <w:r w:rsidR="0010284D" w:rsidRPr="00D06892">
        <w:rPr>
          <w:lang w:val="pl-PL"/>
        </w:rPr>
        <w:t>Nadanie właściwej kategorii dostępności leku – sposób w jaki pacjent nabywa lek (np. z lub bez recepty)</w:t>
      </w:r>
      <w:r w:rsidRPr="00D06892">
        <w:rPr>
          <w:lang w:val="pl-PL"/>
        </w:rPr>
        <w:t xml:space="preserve"> </w:t>
      </w:r>
      <w:r w:rsidRPr="00E93A4B">
        <w:rPr>
          <w:lang w:val="pl-PL"/>
        </w:rPr>
        <w:t>może zminimalizować ryzyko</w:t>
      </w:r>
      <w:r w:rsidR="00893989" w:rsidRPr="00E93A4B">
        <w:rPr>
          <w:lang w:val="pl-PL"/>
        </w:rPr>
        <w:t xml:space="preserve"> </w:t>
      </w:r>
      <w:r w:rsidR="00D06892" w:rsidRPr="00E93A4B">
        <w:rPr>
          <w:lang w:val="pl-PL"/>
        </w:rPr>
        <w:t>związane z jego stosowaniem</w:t>
      </w:r>
      <w:r w:rsidR="006F15AD" w:rsidRPr="00E93A4B">
        <w:rPr>
          <w:lang w:val="pl-PL"/>
        </w:rPr>
        <w:t>.</w:t>
      </w:r>
    </w:p>
    <w:p w14:paraId="392948D3" w14:textId="0642CD45" w:rsidR="00AE7EC5" w:rsidRPr="007A5747" w:rsidRDefault="00AE7EC5" w:rsidP="001D2166">
      <w:pPr>
        <w:pStyle w:val="BodytextAgency"/>
        <w:jc w:val="both"/>
        <w:rPr>
          <w:lang w:val="pl-PL"/>
        </w:rPr>
      </w:pPr>
      <w:r w:rsidRPr="00D06892">
        <w:rPr>
          <w:lang w:val="pl-PL"/>
        </w:rPr>
        <w:t>Wszystkie te działania to rutynow</w:t>
      </w:r>
      <w:r w:rsidR="00AC1279" w:rsidRPr="00D06892">
        <w:rPr>
          <w:lang w:val="pl-PL"/>
        </w:rPr>
        <w:t>e</w:t>
      </w:r>
      <w:r w:rsidRPr="00D06892">
        <w:rPr>
          <w:lang w:val="pl-PL"/>
        </w:rPr>
        <w:t xml:space="preserve"> środki minimalizacji ryzyka</w:t>
      </w:r>
      <w:r w:rsidR="006F15AD" w:rsidRPr="00D06892">
        <w:rPr>
          <w:lang w:val="pl-PL"/>
        </w:rPr>
        <w:t>.</w:t>
      </w:r>
    </w:p>
    <w:p w14:paraId="7FDB8810" w14:textId="4BC97C46" w:rsidR="00AE7EC5" w:rsidRPr="007A5747" w:rsidRDefault="00AE7EC5" w:rsidP="001D2166">
      <w:pPr>
        <w:pStyle w:val="BodytextAgency"/>
        <w:jc w:val="both"/>
        <w:rPr>
          <w:lang w:val="pl-PL"/>
        </w:rPr>
      </w:pPr>
      <w:r w:rsidRPr="007A5747">
        <w:rPr>
          <w:lang w:val="pl-PL"/>
        </w:rPr>
        <w:t>W uzup</w:t>
      </w:r>
      <w:r w:rsidR="009B5434" w:rsidRPr="007A5747">
        <w:rPr>
          <w:lang w:val="pl-PL"/>
        </w:rPr>
        <w:t>ełnieniu do tych działań</w:t>
      </w:r>
      <w:r w:rsidRPr="007A5747">
        <w:rPr>
          <w:lang w:val="pl-PL"/>
        </w:rPr>
        <w:t xml:space="preserve">, </w:t>
      </w:r>
      <w:r w:rsidR="00E05B0A" w:rsidRPr="007A5747">
        <w:rPr>
          <w:lang w:val="pl-PL"/>
        </w:rPr>
        <w:t xml:space="preserve">regularnie gromadzi się i analizuje </w:t>
      </w:r>
      <w:r w:rsidRPr="007A5747">
        <w:rPr>
          <w:lang w:val="pl-PL"/>
        </w:rPr>
        <w:t>informacj</w:t>
      </w:r>
      <w:r w:rsidR="00E05B0A" w:rsidRPr="007A5747">
        <w:rPr>
          <w:lang w:val="pl-PL"/>
        </w:rPr>
        <w:t>e</w:t>
      </w:r>
      <w:r w:rsidRPr="007A5747">
        <w:rPr>
          <w:lang w:val="pl-PL"/>
        </w:rPr>
        <w:t xml:space="preserve"> o niepożądanych działaniach </w:t>
      </w:r>
      <w:r w:rsidR="001D2166">
        <w:rPr>
          <w:lang w:val="pl-PL"/>
        </w:rPr>
        <w:t>produktu leczniczego</w:t>
      </w:r>
      <w:r w:rsidR="00E05B0A" w:rsidRPr="007A5747">
        <w:rPr>
          <w:lang w:val="pl-PL"/>
        </w:rPr>
        <w:t>, aby w</w:t>
      </w:r>
      <w:r w:rsidRPr="007A5747">
        <w:rPr>
          <w:lang w:val="pl-PL"/>
        </w:rPr>
        <w:t xml:space="preserve"> razie potrzeby niezwłocznie p</w:t>
      </w:r>
      <w:r w:rsidR="00AC1279" w:rsidRPr="007A5747">
        <w:rPr>
          <w:lang w:val="pl-PL"/>
        </w:rPr>
        <w:t>odj</w:t>
      </w:r>
      <w:r w:rsidR="00E05B0A" w:rsidRPr="007A5747">
        <w:rPr>
          <w:lang w:val="pl-PL"/>
        </w:rPr>
        <w:t>ą</w:t>
      </w:r>
      <w:r w:rsidR="00AC1279" w:rsidRPr="007A5747">
        <w:rPr>
          <w:lang w:val="pl-PL"/>
        </w:rPr>
        <w:t>ć</w:t>
      </w:r>
      <w:r w:rsidR="007A5747" w:rsidRPr="007A5747">
        <w:rPr>
          <w:lang w:val="pl-PL"/>
        </w:rPr>
        <w:t xml:space="preserve"> konieczne kroki. Działania te</w:t>
      </w:r>
      <w:r w:rsidR="00F47221" w:rsidRPr="007A5747">
        <w:rPr>
          <w:lang w:val="pl-PL"/>
        </w:rPr>
        <w:t xml:space="preserve"> stanowią rutynowe</w:t>
      </w:r>
      <w:r w:rsidR="00706AA5" w:rsidRPr="007A5747">
        <w:rPr>
          <w:lang w:val="pl-PL"/>
        </w:rPr>
        <w:t xml:space="preserve"> aktywności</w:t>
      </w:r>
      <w:r w:rsidR="00F47221" w:rsidRPr="007A5747">
        <w:rPr>
          <w:lang w:val="pl-PL"/>
        </w:rPr>
        <w:t xml:space="preserve"> nadzoru nad bezpieczeństwem farmakoterapii</w:t>
      </w:r>
      <w:r w:rsidR="005E18C1" w:rsidRPr="007A5747">
        <w:rPr>
          <w:lang w:val="pl-PL"/>
        </w:rPr>
        <w:t>.</w:t>
      </w:r>
    </w:p>
    <w:p w14:paraId="2519BD73" w14:textId="5766CE64" w:rsidR="00F47221" w:rsidRPr="007A5747" w:rsidRDefault="00F47221" w:rsidP="00F67490">
      <w:pPr>
        <w:pStyle w:val="BodytextAgency"/>
        <w:jc w:val="both"/>
        <w:rPr>
          <w:lang w:val="pl-PL"/>
        </w:rPr>
      </w:pPr>
      <w:r w:rsidRPr="007A5747">
        <w:rPr>
          <w:lang w:val="pl-PL"/>
        </w:rPr>
        <w:t xml:space="preserve">Jeżeli brakuje jeszcze </w:t>
      </w:r>
      <w:r w:rsidR="006401EC" w:rsidRPr="007A5747">
        <w:rPr>
          <w:lang w:val="pl-PL"/>
        </w:rPr>
        <w:t xml:space="preserve">istotnych </w:t>
      </w:r>
      <w:r w:rsidRPr="007A5747">
        <w:rPr>
          <w:lang w:val="pl-PL"/>
        </w:rPr>
        <w:t xml:space="preserve">informacji, które mogłyby wpływać na bezpieczeństwo stosowania produktu </w:t>
      </w:r>
      <w:r w:rsidR="00F67490">
        <w:rPr>
          <w:lang w:val="pl-PL"/>
        </w:rPr>
        <w:t xml:space="preserve">leczniczego </w:t>
      </w:r>
      <w:proofErr w:type="spellStart"/>
      <w:r w:rsidR="00B15DFA">
        <w:rPr>
          <w:lang w:val="pl-PL"/>
        </w:rPr>
        <w:t>Adrimax</w:t>
      </w:r>
      <w:proofErr w:type="spellEnd"/>
      <w:r w:rsidRPr="007A5747">
        <w:rPr>
          <w:lang w:val="pl-PL"/>
        </w:rPr>
        <w:t xml:space="preserve"> </w:t>
      </w:r>
      <w:r w:rsidR="007A5747" w:rsidRPr="007A5747">
        <w:rPr>
          <w:lang w:val="pl-PL"/>
        </w:rPr>
        <w:t>są one wymienione poniżej jako</w:t>
      </w:r>
      <w:r w:rsidR="00A156E7">
        <w:rPr>
          <w:lang w:val="pl-PL"/>
        </w:rPr>
        <w:t xml:space="preserve"> „brakujące informacje”</w:t>
      </w:r>
      <w:r w:rsidR="006F15AD" w:rsidRPr="007A5747">
        <w:rPr>
          <w:lang w:val="pl-PL"/>
        </w:rPr>
        <w:t>.</w:t>
      </w:r>
    </w:p>
    <w:p w14:paraId="6785ABF5" w14:textId="77777777" w:rsidR="008C75A2" w:rsidRPr="00CC3992" w:rsidRDefault="00801794" w:rsidP="0033275E">
      <w:pPr>
        <w:pStyle w:val="Heading2Agency"/>
        <w:numPr>
          <w:ilvl w:val="0"/>
          <w:numId w:val="0"/>
        </w:numPr>
        <w:jc w:val="both"/>
        <w:rPr>
          <w:i w:val="0"/>
          <w:sz w:val="24"/>
          <w:szCs w:val="24"/>
          <w:lang w:val="pl-PL"/>
        </w:rPr>
      </w:pPr>
      <w:r w:rsidRPr="00CC3992">
        <w:rPr>
          <w:i w:val="0"/>
          <w:sz w:val="24"/>
          <w:szCs w:val="24"/>
        </w:rPr>
        <w:t xml:space="preserve">II.A </w:t>
      </w:r>
      <w:r w:rsidR="00F47221" w:rsidRPr="00CC3992">
        <w:rPr>
          <w:i w:val="0"/>
          <w:sz w:val="24"/>
          <w:szCs w:val="24"/>
          <w:lang w:val="pl-PL"/>
        </w:rPr>
        <w:t>Lista i</w:t>
      </w:r>
      <w:r w:rsidR="00B05173" w:rsidRPr="00CC3992">
        <w:rPr>
          <w:i w:val="0"/>
          <w:sz w:val="24"/>
          <w:szCs w:val="24"/>
          <w:lang w:val="pl-PL"/>
        </w:rPr>
        <w:t xml:space="preserve">stotnych </w:t>
      </w:r>
      <w:r w:rsidR="00E05B0A" w:rsidRPr="00CC3992">
        <w:rPr>
          <w:i w:val="0"/>
          <w:sz w:val="24"/>
          <w:szCs w:val="24"/>
          <w:lang w:val="pl-PL"/>
        </w:rPr>
        <w:t xml:space="preserve">zagrożeń </w:t>
      </w:r>
      <w:r w:rsidR="00B05173" w:rsidRPr="00CC3992">
        <w:rPr>
          <w:i w:val="0"/>
          <w:sz w:val="24"/>
          <w:szCs w:val="24"/>
          <w:lang w:val="pl-PL"/>
        </w:rPr>
        <w:t xml:space="preserve">i </w:t>
      </w:r>
      <w:r w:rsidR="00F47221" w:rsidRPr="00CC3992">
        <w:rPr>
          <w:i w:val="0"/>
          <w:sz w:val="24"/>
          <w:szCs w:val="24"/>
          <w:lang w:val="pl-PL"/>
        </w:rPr>
        <w:t>brakujących informacji</w:t>
      </w:r>
    </w:p>
    <w:p w14:paraId="0E22C547" w14:textId="352C2B0D" w:rsidR="001B0B35" w:rsidRPr="001B0B35" w:rsidRDefault="001B0B35" w:rsidP="00F67490">
      <w:pPr>
        <w:pStyle w:val="BodytextAgency"/>
        <w:jc w:val="both"/>
        <w:rPr>
          <w:iCs/>
          <w:lang w:val="pl-PL"/>
        </w:rPr>
      </w:pPr>
      <w:r w:rsidRPr="001B0B35">
        <w:rPr>
          <w:iCs/>
          <w:lang w:val="pl-PL"/>
        </w:rPr>
        <w:t xml:space="preserve">Istotne ryzyka związane ze stosowaniem produktu leczniczego </w:t>
      </w:r>
      <w:proofErr w:type="spellStart"/>
      <w:r w:rsidR="00B15DFA">
        <w:rPr>
          <w:iCs/>
          <w:lang w:val="pl-PL"/>
        </w:rPr>
        <w:t>Adrimax</w:t>
      </w:r>
      <w:proofErr w:type="spellEnd"/>
      <w:r w:rsidRPr="001B0B35">
        <w:rPr>
          <w:iCs/>
          <w:lang w:val="pl-PL"/>
        </w:rPr>
        <w:t xml:space="preserve"> to ryzyka, które wymagają specjalnych działań z zakresu zarządzania ryzykiem, w celu dalszego zbadania lub podjęcia kroków </w:t>
      </w:r>
      <w:r w:rsidRPr="001B0B35">
        <w:rPr>
          <w:iCs/>
          <w:lang w:val="pl-PL"/>
        </w:rPr>
        <w:lastRenderedPageBreak/>
        <w:t xml:space="preserve">minimalizujących ryzyko, w taki sposób żeby produkt leczniczy mógł być bezpiecznie przyjmowany. Istotne ryzyka mogą odnosić się do ryzyka zidentyfikowanego lub potencjalnego. Zidentyfikowane ryzyka odnoszą się do sytuacji, w których w wystarczający sposób możemy udowodnić zależność ryzyka od stosowania produktu </w:t>
      </w:r>
      <w:proofErr w:type="spellStart"/>
      <w:r w:rsidR="00B15DFA">
        <w:rPr>
          <w:iCs/>
          <w:lang w:val="pl-PL"/>
        </w:rPr>
        <w:t>Adrimax</w:t>
      </w:r>
      <w:proofErr w:type="spellEnd"/>
      <w:r w:rsidRPr="001B0B35">
        <w:rPr>
          <w:iCs/>
          <w:lang w:val="pl-PL"/>
        </w:rPr>
        <w:t xml:space="preserve">. Potencjalne ryzyka odnoszą się do sytuacji, w których związek zagrożenia ze stosowaniem leku jest oceniany jako możliwy, po wzięciu pod uwagę dostępnych danych, ale ten związek nie jest dotychczas w pełni ustalony i wymaga dalszej oceny. Brakujące informacje odnoszą się do informacji dotyczących bezpieczeństwa stosowania leku, których obecnie brakuje i wymagają zgromadzenia niezbędnych danych (np. dotyczące bezpieczeństwa podczas długotrwałego stosowania leku). </w:t>
      </w: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5E0" w:firstRow="1" w:lastRow="1" w:firstColumn="1" w:lastColumn="1" w:noHBand="0" w:noVBand="1"/>
      </w:tblPr>
      <w:tblGrid>
        <w:gridCol w:w="3059"/>
        <w:gridCol w:w="6297"/>
      </w:tblGrid>
      <w:tr w:rsidR="008C75A2" w:rsidRPr="00AC1279" w14:paraId="27B56233" w14:textId="77777777" w:rsidTr="00695700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E27" w14:textId="0ED04C2C" w:rsidR="008C75A2" w:rsidRPr="00241346" w:rsidRDefault="003563B1" w:rsidP="00CC3992">
            <w:pPr>
              <w:keepNext/>
              <w:spacing w:after="140" w:line="280" w:lineRule="atLeast"/>
              <w:jc w:val="both"/>
              <w:rPr>
                <w:rFonts w:eastAsia="Times New Roman"/>
                <w:b/>
                <w:lang w:val="pl-PL"/>
              </w:rPr>
            </w:pPr>
            <w:r w:rsidRPr="00241346">
              <w:rPr>
                <w:rFonts w:eastAsia="Times New Roman"/>
                <w:b/>
                <w:lang w:val="pl-PL"/>
              </w:rPr>
              <w:t xml:space="preserve">Lista istotnych </w:t>
            </w:r>
            <w:r w:rsidR="00E05B0A" w:rsidRPr="00241346">
              <w:rPr>
                <w:rFonts w:eastAsia="Times New Roman"/>
                <w:b/>
                <w:lang w:val="pl-PL"/>
              </w:rPr>
              <w:t xml:space="preserve">zagrożeń </w:t>
            </w:r>
            <w:r w:rsidRPr="00241346">
              <w:rPr>
                <w:rFonts w:eastAsia="Times New Roman"/>
                <w:b/>
                <w:lang w:val="pl-PL"/>
              </w:rPr>
              <w:t>i  brakujących informacji</w:t>
            </w:r>
            <w:r w:rsidR="00DF170C" w:rsidRPr="00241346">
              <w:rPr>
                <w:rFonts w:eastAsia="MS Mincho" w:hint="eastAsia"/>
                <w:b/>
                <w:lang w:val="pl-PL" w:eastAsia="ja-JP"/>
              </w:rPr>
              <w:t xml:space="preserve"> </w:t>
            </w:r>
          </w:p>
        </w:tc>
      </w:tr>
      <w:tr w:rsidR="008C75A2" w:rsidRPr="00757E56" w14:paraId="2BAA1F4B" w14:textId="77777777" w:rsidTr="001E6F13"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504CF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  <w:lang w:val="pl-PL"/>
              </w:rPr>
            </w:pPr>
            <w:r w:rsidRPr="00241346">
              <w:rPr>
                <w:rFonts w:eastAsia="Times New Roman"/>
                <w:lang w:val="pl-PL"/>
              </w:rPr>
              <w:t>Istotne zidentyfikowane ryzyka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2D212D" w14:textId="77777777" w:rsidR="008C75A2" w:rsidRDefault="00694FED" w:rsidP="00694FE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 w:rsidRPr="00694FED">
              <w:rPr>
                <w:rFonts w:eastAsia="Verdana" w:cs="Times New Roman"/>
                <w:iCs/>
                <w:lang w:val="pl-PL" w:eastAsia="x-none"/>
              </w:rPr>
              <w:t>Reakcje</w:t>
            </w:r>
            <w:r>
              <w:rPr>
                <w:rFonts w:eastAsia="Verdana" w:cs="Times New Roman"/>
                <w:iCs/>
                <w:lang w:val="pl-PL" w:eastAsia="x-none"/>
              </w:rPr>
              <w:t xml:space="preserve"> </w:t>
            </w:r>
            <w:r w:rsidRPr="00694FED">
              <w:rPr>
                <w:rFonts w:eastAsia="Verdana" w:cs="Times New Roman"/>
                <w:iCs/>
                <w:lang w:val="pl-PL" w:eastAsia="x-none"/>
              </w:rPr>
              <w:t>nadwrażliwości</w:t>
            </w:r>
          </w:p>
          <w:p w14:paraId="2E166193" w14:textId="671CA992" w:rsidR="00694FED" w:rsidRPr="00694FED" w:rsidRDefault="00651D58" w:rsidP="00694FED">
            <w:pPr>
              <w:numPr>
                <w:ilvl w:val="0"/>
                <w:numId w:val="104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 w:rsidRPr="00651D58">
              <w:rPr>
                <w:rFonts w:eastAsia="Verdana" w:cs="Times New Roman"/>
                <w:iCs/>
                <w:lang w:val="pl-PL" w:eastAsia="x-none"/>
              </w:rPr>
              <w:t>Stosowanie u pacjentów z</w:t>
            </w:r>
            <w:r w:rsidR="009A02C0">
              <w:rPr>
                <w:rFonts w:eastAsia="Verdana" w:cs="Times New Roman"/>
                <w:iCs/>
                <w:lang w:val="pl-PL" w:eastAsia="x-none"/>
              </w:rPr>
              <w:t>e wzmożonym wydzielaniem gruczołów oddechowych (</w:t>
            </w:r>
            <w:proofErr w:type="spellStart"/>
            <w:r w:rsidR="009A02C0">
              <w:rPr>
                <w:rFonts w:eastAsia="Verdana" w:cs="Times New Roman"/>
                <w:iCs/>
                <w:lang w:val="pl-PL" w:eastAsia="x-none"/>
              </w:rPr>
              <w:t>bronchorrea</w:t>
            </w:r>
            <w:proofErr w:type="spellEnd"/>
            <w:r w:rsidR="009A02C0">
              <w:rPr>
                <w:rFonts w:eastAsia="Verdana" w:cs="Times New Roman"/>
                <w:iCs/>
                <w:lang w:val="pl-PL" w:eastAsia="x-none"/>
              </w:rPr>
              <w:t xml:space="preserve">) </w:t>
            </w:r>
            <w:r w:rsidRPr="00651D58">
              <w:rPr>
                <w:rFonts w:eastAsia="Verdana" w:cs="Times New Roman"/>
                <w:iCs/>
                <w:lang w:val="pl-PL" w:eastAsia="x-none"/>
              </w:rPr>
              <w:t xml:space="preserve">i zmniejszoną </w:t>
            </w:r>
            <w:r w:rsidR="009A02C0">
              <w:rPr>
                <w:rFonts w:eastAsia="Verdana" w:cs="Times New Roman"/>
                <w:iCs/>
                <w:lang w:val="pl-PL" w:eastAsia="x-none"/>
              </w:rPr>
              <w:t>aktywnością</w:t>
            </w:r>
            <w:r w:rsidRPr="00651D58">
              <w:rPr>
                <w:rFonts w:eastAsia="Verdana" w:cs="Times New Roman"/>
                <w:iCs/>
                <w:lang w:val="pl-PL" w:eastAsia="x-none"/>
              </w:rPr>
              <w:t xml:space="preserve"> śluzowo-rzęskową (zespół </w:t>
            </w:r>
            <w:proofErr w:type="spellStart"/>
            <w:r w:rsidRPr="00651D58">
              <w:rPr>
                <w:rFonts w:eastAsia="Verdana" w:cs="Times New Roman"/>
                <w:iCs/>
                <w:lang w:val="pl-PL" w:eastAsia="x-none"/>
              </w:rPr>
              <w:t>Kartagenera</w:t>
            </w:r>
            <w:proofErr w:type="spellEnd"/>
            <w:r w:rsidRPr="00651D58">
              <w:rPr>
                <w:rFonts w:eastAsia="Verdana" w:cs="Times New Roman"/>
                <w:iCs/>
                <w:lang w:val="pl-PL" w:eastAsia="x-none"/>
              </w:rPr>
              <w:t>, dyskineza rzęsek</w:t>
            </w:r>
            <w:r w:rsidR="009A02C0">
              <w:rPr>
                <w:rFonts w:eastAsia="Verdana" w:cs="Times New Roman"/>
                <w:iCs/>
                <w:lang w:val="pl-PL" w:eastAsia="x-none"/>
              </w:rPr>
              <w:t>)</w:t>
            </w:r>
          </w:p>
        </w:tc>
      </w:tr>
      <w:tr w:rsidR="008C75A2" w:rsidRPr="00757E56" w14:paraId="1B66A5A7" w14:textId="77777777" w:rsidTr="001E6F13"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7F4063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  <w:lang w:val="pl-PL"/>
              </w:rPr>
            </w:pPr>
            <w:r w:rsidRPr="00241346">
              <w:rPr>
                <w:rFonts w:eastAsia="Times New Roman"/>
                <w:lang w:val="pl-PL"/>
              </w:rPr>
              <w:t>Istotne potencjalne ryzyka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A30538" w14:textId="119268B4" w:rsidR="008C75A2" w:rsidRDefault="00990C2B" w:rsidP="00990C2B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>
              <w:rPr>
                <w:rFonts w:eastAsia="Verdana" w:cs="Times New Roman"/>
                <w:iCs/>
                <w:lang w:val="pl-PL" w:eastAsia="x-none"/>
              </w:rPr>
              <w:t>Jednoczesne stoso</w:t>
            </w:r>
            <w:r w:rsidR="00F32C52">
              <w:rPr>
                <w:rFonts w:eastAsia="Verdana" w:cs="Times New Roman"/>
                <w:iCs/>
                <w:lang w:val="pl-PL" w:eastAsia="x-none"/>
              </w:rPr>
              <w:t>wanie</w:t>
            </w:r>
            <w:r w:rsidR="00C81F79">
              <w:rPr>
                <w:rFonts w:eastAsia="Verdana" w:cs="Times New Roman"/>
                <w:iCs/>
                <w:lang w:val="pl-PL" w:eastAsia="x-none"/>
              </w:rPr>
              <w:t xml:space="preserve"> </w:t>
            </w:r>
            <w:proofErr w:type="spellStart"/>
            <w:r w:rsidR="00C81F79">
              <w:rPr>
                <w:rFonts w:eastAsia="Verdana" w:cs="Times New Roman"/>
                <w:iCs/>
                <w:lang w:val="pl-PL" w:eastAsia="x-none"/>
              </w:rPr>
              <w:t>l</w:t>
            </w:r>
            <w:r w:rsidR="00C81F79" w:rsidRPr="00C81F79">
              <w:rPr>
                <w:rFonts w:eastAsia="Verdana" w:cs="Times New Roman"/>
                <w:iCs/>
                <w:lang w:val="pl-PL" w:eastAsia="x-none"/>
              </w:rPr>
              <w:t>ewodropropizy</w:t>
            </w:r>
            <w:r w:rsidR="00C81F79">
              <w:rPr>
                <w:rFonts w:eastAsia="Verdana" w:cs="Times New Roman"/>
                <w:iCs/>
                <w:lang w:val="pl-PL" w:eastAsia="x-none"/>
              </w:rPr>
              <w:t>ny</w:t>
            </w:r>
            <w:proofErr w:type="spellEnd"/>
            <w:r w:rsidR="00F32C52">
              <w:rPr>
                <w:rFonts w:eastAsia="Verdana" w:cs="Times New Roman"/>
                <w:iCs/>
                <w:lang w:val="pl-PL" w:eastAsia="x-none"/>
              </w:rPr>
              <w:t xml:space="preserve"> z lekami uspakajającymi</w:t>
            </w:r>
          </w:p>
          <w:p w14:paraId="67D7FFE5" w14:textId="6E76BEA7" w:rsidR="00722F4D" w:rsidRDefault="00F32C52" w:rsidP="00990C2B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>
              <w:rPr>
                <w:rFonts w:eastAsia="Verdana" w:cs="Times New Roman"/>
                <w:iCs/>
                <w:lang w:val="pl-PL" w:eastAsia="x-none"/>
              </w:rPr>
              <w:t>Stosowanie u pacjentów z cukrzycą oraz dziedzicznymi</w:t>
            </w:r>
            <w:r w:rsidR="00722F4D">
              <w:rPr>
                <w:rFonts w:eastAsia="Verdana" w:cs="Times New Roman"/>
                <w:iCs/>
                <w:lang w:val="pl-PL" w:eastAsia="x-none"/>
              </w:rPr>
              <w:t xml:space="preserve"> chorobami wpływającymi na metabolizm cukr</w:t>
            </w:r>
            <w:r w:rsidR="00733B35">
              <w:rPr>
                <w:rFonts w:eastAsia="Verdana" w:cs="Times New Roman"/>
                <w:iCs/>
                <w:lang w:val="pl-PL" w:eastAsia="x-none"/>
              </w:rPr>
              <w:t>ów</w:t>
            </w:r>
          </w:p>
          <w:p w14:paraId="2B99C725" w14:textId="77777777" w:rsidR="005C3D64" w:rsidRDefault="00722F4D" w:rsidP="00990C2B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>
              <w:rPr>
                <w:rFonts w:eastAsia="Verdana" w:cs="Times New Roman"/>
                <w:iCs/>
                <w:lang w:val="pl-PL" w:eastAsia="x-none"/>
              </w:rPr>
              <w:t>Stosowanie u pacjentów z ciężką niewydolnością nerek</w:t>
            </w:r>
          </w:p>
          <w:p w14:paraId="04D5DC07" w14:textId="66BAA69F" w:rsidR="00F32C52" w:rsidRPr="003A41D4" w:rsidRDefault="005C3D64" w:rsidP="00990C2B">
            <w:pPr>
              <w:numPr>
                <w:ilvl w:val="0"/>
                <w:numId w:val="105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 w:rsidRPr="005C3D64">
              <w:rPr>
                <w:rFonts w:eastAsia="Verdana" w:cs="Times New Roman"/>
                <w:iCs/>
                <w:lang w:val="pl-PL" w:eastAsia="x-none"/>
              </w:rPr>
              <w:t>Zaburzenia sercowo-naczyniowe: kołatanie serca, tachykardia, niedociśnienie</w:t>
            </w:r>
          </w:p>
        </w:tc>
      </w:tr>
      <w:tr w:rsidR="008C75A2" w:rsidRPr="00757E56" w14:paraId="015ADE78" w14:textId="77777777" w:rsidTr="001E6F13">
        <w:tc>
          <w:tcPr>
            <w:tcW w:w="16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EDB87B" w14:textId="77777777" w:rsidR="003563B1" w:rsidRPr="00241346" w:rsidRDefault="003563B1" w:rsidP="00CC3992">
            <w:pPr>
              <w:spacing w:line="280" w:lineRule="exact"/>
              <w:jc w:val="both"/>
              <w:rPr>
                <w:rFonts w:eastAsia="Times New Roman"/>
              </w:rPr>
            </w:pPr>
            <w:r w:rsidRPr="00F67490">
              <w:rPr>
                <w:rFonts w:eastAsia="Times New Roman"/>
                <w:lang w:val="pl-PL"/>
              </w:rPr>
              <w:t>B</w:t>
            </w:r>
            <w:r w:rsidR="001E6F13" w:rsidRPr="00F67490">
              <w:rPr>
                <w:rFonts w:eastAsia="Times New Roman"/>
                <w:lang w:val="pl-PL"/>
              </w:rPr>
              <w:t>rakujące infor</w:t>
            </w:r>
            <w:r w:rsidRPr="00F67490">
              <w:rPr>
                <w:rFonts w:eastAsia="Times New Roman"/>
                <w:lang w:val="pl-PL"/>
              </w:rPr>
              <w:t>m</w:t>
            </w:r>
            <w:r w:rsidR="001E6F13" w:rsidRPr="00F67490">
              <w:rPr>
                <w:rFonts w:eastAsia="Times New Roman"/>
                <w:lang w:val="pl-PL"/>
              </w:rPr>
              <w:t>a</w:t>
            </w:r>
            <w:r w:rsidRPr="00F67490">
              <w:rPr>
                <w:rFonts w:eastAsia="Times New Roman"/>
                <w:lang w:val="pl-PL"/>
              </w:rPr>
              <w:t>cje</w:t>
            </w:r>
          </w:p>
        </w:tc>
        <w:tc>
          <w:tcPr>
            <w:tcW w:w="33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AD08F8" w14:textId="77777777" w:rsidR="008C75A2" w:rsidRDefault="005C3D64" w:rsidP="005C3D64">
            <w:pPr>
              <w:numPr>
                <w:ilvl w:val="0"/>
                <w:numId w:val="106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>
              <w:rPr>
                <w:rFonts w:eastAsia="Verdana" w:cs="Times New Roman"/>
                <w:iCs/>
                <w:lang w:val="pl-PL" w:eastAsia="x-none"/>
              </w:rPr>
              <w:t>Stosowanie w czasie ciąży i karmienia piersią</w:t>
            </w:r>
          </w:p>
          <w:p w14:paraId="79CB2517" w14:textId="157C17C1" w:rsidR="005C3D64" w:rsidRPr="003A41D4" w:rsidRDefault="005C3D64" w:rsidP="005C3D64">
            <w:pPr>
              <w:numPr>
                <w:ilvl w:val="0"/>
                <w:numId w:val="106"/>
              </w:numPr>
              <w:spacing w:line="280" w:lineRule="exact"/>
              <w:jc w:val="both"/>
              <w:rPr>
                <w:rFonts w:eastAsia="Verdana" w:cs="Times New Roman"/>
                <w:iCs/>
                <w:lang w:val="pl-PL" w:eastAsia="x-none"/>
              </w:rPr>
            </w:pPr>
            <w:r>
              <w:rPr>
                <w:rFonts w:eastAsia="Verdana" w:cs="Times New Roman"/>
                <w:iCs/>
                <w:lang w:val="pl-PL" w:eastAsia="x-none"/>
              </w:rPr>
              <w:t>Stosowanie u dzieci poniżej 24 miesiąca życia</w:t>
            </w:r>
          </w:p>
        </w:tc>
      </w:tr>
    </w:tbl>
    <w:p w14:paraId="16153F7E" w14:textId="77777777" w:rsidR="008C75A2" w:rsidRPr="004064AD" w:rsidRDefault="008C75A2" w:rsidP="00CC3992">
      <w:pPr>
        <w:pStyle w:val="BodytextAgency"/>
        <w:jc w:val="both"/>
        <w:rPr>
          <w:rFonts w:eastAsia="MS Mincho"/>
          <w:lang w:eastAsia="ja-JP"/>
        </w:rPr>
      </w:pPr>
    </w:p>
    <w:p w14:paraId="5C2AF5AF" w14:textId="190F4866" w:rsidR="008C75A2" w:rsidRPr="005C3D64" w:rsidRDefault="00B05173" w:rsidP="005C3D64">
      <w:pPr>
        <w:pStyle w:val="Heading2Agency"/>
        <w:numPr>
          <w:ilvl w:val="0"/>
          <w:numId w:val="0"/>
        </w:numPr>
        <w:tabs>
          <w:tab w:val="left" w:pos="630"/>
        </w:tabs>
        <w:jc w:val="both"/>
        <w:rPr>
          <w:i w:val="0"/>
          <w:iCs/>
          <w:sz w:val="24"/>
          <w:szCs w:val="24"/>
          <w:lang w:val="pl-PL"/>
        </w:rPr>
      </w:pPr>
      <w:bookmarkStart w:id="465" w:name="_Toc444075115"/>
      <w:r w:rsidRPr="00CC3992">
        <w:rPr>
          <w:i w:val="0"/>
          <w:iCs/>
          <w:sz w:val="24"/>
          <w:szCs w:val="24"/>
          <w:lang w:val="pl-PL"/>
        </w:rPr>
        <w:t xml:space="preserve">II.B </w:t>
      </w:r>
      <w:bookmarkEnd w:id="465"/>
      <w:r w:rsidR="00BC2C01" w:rsidRPr="00CC3992">
        <w:rPr>
          <w:i w:val="0"/>
          <w:iCs/>
          <w:sz w:val="24"/>
          <w:szCs w:val="24"/>
          <w:lang w:val="pl-PL"/>
        </w:rPr>
        <w:t>Podsumowanie informacji o istotnych ryzykach</w:t>
      </w: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293178" w:rsidRPr="00293178" w14:paraId="24EFB5DB" w14:textId="77777777" w:rsidTr="00095F96">
        <w:trPr>
          <w:trHeight w:val="629"/>
        </w:trPr>
        <w:tc>
          <w:tcPr>
            <w:tcW w:w="9356" w:type="dxa"/>
            <w:gridSpan w:val="2"/>
          </w:tcPr>
          <w:p w14:paraId="772015C2" w14:textId="1C1935D7" w:rsidR="00293178" w:rsidRPr="005C3D64" w:rsidRDefault="00293178" w:rsidP="00CC3992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5C3D64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 ryzyk</w:t>
            </w:r>
            <w:r w:rsidR="005C3D64">
              <w:rPr>
                <w:sz w:val="20"/>
                <w:szCs w:val="20"/>
                <w:lang w:val="pl-PL"/>
              </w:rPr>
              <w:t xml:space="preserve">o: </w:t>
            </w:r>
            <w:r w:rsidR="005C3D64" w:rsidRPr="005C3D64">
              <w:rPr>
                <w:sz w:val="20"/>
                <w:szCs w:val="20"/>
                <w:lang w:val="pl-PL"/>
              </w:rPr>
              <w:t>Reakcje nadwrażliwości</w:t>
            </w:r>
          </w:p>
        </w:tc>
      </w:tr>
      <w:tr w:rsidR="008C75A2" w:rsidRPr="00B00A7E" w14:paraId="1912A961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07C1552" w14:textId="0CF641E4" w:rsidR="00B00A7E" w:rsidRPr="00F976D4" w:rsidRDefault="00DB1A11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="00F03716"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="00F03716"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="00F03716" w:rsidRPr="00DB1A11">
              <w:rPr>
                <w:rFonts w:cs="Verdana"/>
                <w:lang w:val="pl-PL" w:eastAsia="en-GB"/>
              </w:rPr>
              <w:t xml:space="preserve"> między stosowaniem leku a </w:t>
            </w:r>
            <w:r w:rsidR="00B00A7E" w:rsidRPr="00DB1A11">
              <w:rPr>
                <w:rFonts w:cs="Verdana"/>
                <w:lang w:val="pl-PL" w:eastAsia="en-GB"/>
              </w:rPr>
              <w:t xml:space="preserve">istnieniem danego </w:t>
            </w:r>
            <w:r w:rsidR="00E05B0A" w:rsidRPr="00DB1A11">
              <w:rPr>
                <w:rFonts w:cs="Verdana"/>
                <w:lang w:val="pl-PL" w:eastAsia="en-GB"/>
              </w:rPr>
              <w:t>zagrożenia</w:t>
            </w:r>
          </w:p>
        </w:tc>
        <w:tc>
          <w:tcPr>
            <w:tcW w:w="6804" w:type="dxa"/>
            <w:shd w:val="clear" w:color="C0C0C0" w:fill="FFFFFF"/>
          </w:tcPr>
          <w:p w14:paraId="16496775" w14:textId="68DD9F14" w:rsidR="00B00A7E" w:rsidRPr="00F976D4" w:rsidRDefault="002001C0" w:rsidP="00CC3992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2001C0">
              <w:rPr>
                <w:iCs/>
                <w:lang w:val="pl-PL"/>
              </w:rPr>
              <w:t xml:space="preserve">Zgłoszono kilka przypadków anafilaksji po leczeniu </w:t>
            </w:r>
            <w:proofErr w:type="spellStart"/>
            <w:r w:rsidRPr="002001C0">
              <w:rPr>
                <w:iCs/>
                <w:lang w:val="pl-PL"/>
              </w:rPr>
              <w:t>lewodropropizyną</w:t>
            </w:r>
            <w:proofErr w:type="spellEnd"/>
            <w:r w:rsidRPr="002001C0">
              <w:rPr>
                <w:iCs/>
                <w:lang w:val="pl-PL"/>
              </w:rPr>
              <w:t xml:space="preserve">. Objawy w chwili zgłoszenia obejmowały pokrzywkę uogólnioną, duszność, zapaść, wysypkę skórną, obrzęk naczynioruchowy i reakcję anafilaktyczną </w:t>
            </w:r>
            <w:r>
              <w:rPr>
                <w:iCs/>
                <w:lang w:val="pl-PL"/>
              </w:rPr>
              <w:t xml:space="preserve">zależną od </w:t>
            </w:r>
            <w:proofErr w:type="spellStart"/>
            <w:r>
              <w:rPr>
                <w:iCs/>
                <w:lang w:val="pl-PL"/>
              </w:rPr>
              <w:t>IgE</w:t>
            </w:r>
            <w:proofErr w:type="spellEnd"/>
            <w:r>
              <w:rPr>
                <w:iCs/>
                <w:lang w:val="pl-PL"/>
              </w:rPr>
              <w:t>.</w:t>
            </w:r>
          </w:p>
        </w:tc>
      </w:tr>
      <w:tr w:rsidR="008C75A2" w:rsidRPr="00084890" w14:paraId="7AE9A645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7BF8B8B7" w14:textId="77777777" w:rsidR="00BF7F82" w:rsidRPr="00DB1A11" w:rsidRDefault="00BF7F82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  <w:p w14:paraId="0FD33374" w14:textId="5E4A7B74" w:rsidR="00084890" w:rsidRPr="00F976D4" w:rsidRDefault="00084890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52BB6A4B" w14:textId="4FE0581B" w:rsidR="008C75A2" w:rsidRPr="00F976D4" w:rsidRDefault="00DA23A6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A23A6">
              <w:rPr>
                <w:iCs/>
                <w:lang w:val="pl-PL"/>
              </w:rPr>
              <w:t xml:space="preserve">Chociaż rozwoju nadwrażliwości na leki nie da się z całą pewnością przewidzieć, wyjaśniono pewne czynniki, które, jeśli występują, zwiększają prawdopodobieństwo wystąpienia takiej reakcji. </w:t>
            </w:r>
            <w:r w:rsidR="009D2095">
              <w:rPr>
                <w:iCs/>
                <w:lang w:val="pl-PL"/>
              </w:rPr>
              <w:t>Takimi czynnikami mogą być cechy leku</w:t>
            </w:r>
            <w:r w:rsidRPr="00DA23A6">
              <w:rPr>
                <w:iCs/>
                <w:lang w:val="pl-PL"/>
              </w:rPr>
              <w:t xml:space="preserve"> (rodzaj leku, stopień narażenia, droga podania, uczulenie krzyżowe), </w:t>
            </w:r>
            <w:r w:rsidR="009D2095">
              <w:rPr>
                <w:iCs/>
                <w:lang w:val="pl-PL"/>
              </w:rPr>
              <w:t>cechy pacjenta</w:t>
            </w:r>
            <w:r w:rsidRPr="00DA23A6">
              <w:rPr>
                <w:iCs/>
                <w:lang w:val="pl-PL"/>
              </w:rPr>
              <w:t xml:space="preserve">, takie jak czynniki genetyczne (np. Typ HLA), współistniejąca choroba (np. </w:t>
            </w:r>
            <w:r w:rsidR="005D4598">
              <w:rPr>
                <w:iCs/>
                <w:lang w:val="pl-PL"/>
              </w:rPr>
              <w:t>w</w:t>
            </w:r>
            <w:r w:rsidRPr="00DA23A6">
              <w:rPr>
                <w:iCs/>
                <w:lang w:val="pl-PL"/>
              </w:rPr>
              <w:t xml:space="preserve">irus </w:t>
            </w:r>
            <w:proofErr w:type="spellStart"/>
            <w:r w:rsidRPr="00DA23A6">
              <w:rPr>
                <w:iCs/>
                <w:lang w:val="pl-PL"/>
              </w:rPr>
              <w:t>Ebsteina</w:t>
            </w:r>
            <w:proofErr w:type="spellEnd"/>
            <w:r w:rsidRPr="00DA23A6">
              <w:rPr>
                <w:iCs/>
                <w:lang w:val="pl-PL"/>
              </w:rPr>
              <w:t>-Barr</w:t>
            </w:r>
            <w:r w:rsidR="005D4598">
              <w:rPr>
                <w:iCs/>
                <w:lang w:val="pl-PL"/>
              </w:rPr>
              <w:t>a</w:t>
            </w:r>
            <w:r w:rsidRPr="00DA23A6">
              <w:rPr>
                <w:iCs/>
                <w:lang w:val="pl-PL"/>
              </w:rPr>
              <w:t xml:space="preserve"> (EBV), </w:t>
            </w:r>
            <w:r w:rsidR="005D4598" w:rsidRPr="00DA23A6">
              <w:rPr>
                <w:iCs/>
                <w:lang w:val="pl-PL"/>
              </w:rPr>
              <w:t xml:space="preserve">wirus </w:t>
            </w:r>
            <w:r w:rsidRPr="00DA23A6">
              <w:rPr>
                <w:iCs/>
                <w:lang w:val="pl-PL"/>
              </w:rPr>
              <w:t>ludzki</w:t>
            </w:r>
            <w:r w:rsidR="005D4598">
              <w:rPr>
                <w:iCs/>
                <w:lang w:val="pl-PL"/>
              </w:rPr>
              <w:t xml:space="preserve">ego </w:t>
            </w:r>
            <w:r w:rsidRPr="00DA23A6">
              <w:rPr>
                <w:iCs/>
                <w:lang w:val="pl-PL"/>
              </w:rPr>
              <w:t>niedo</w:t>
            </w:r>
            <w:r w:rsidR="005D4598">
              <w:rPr>
                <w:iCs/>
                <w:lang w:val="pl-PL"/>
              </w:rPr>
              <w:t>boru</w:t>
            </w:r>
            <w:r w:rsidRPr="00DA23A6">
              <w:rPr>
                <w:iCs/>
                <w:lang w:val="pl-PL"/>
              </w:rPr>
              <w:t xml:space="preserve"> odporności </w:t>
            </w:r>
            <w:r w:rsidR="005D4598">
              <w:rPr>
                <w:iCs/>
                <w:lang w:val="pl-PL"/>
              </w:rPr>
              <w:t>(</w:t>
            </w:r>
            <w:r w:rsidRPr="00DA23A6">
              <w:rPr>
                <w:iCs/>
                <w:lang w:val="pl-PL"/>
              </w:rPr>
              <w:t>HIV</w:t>
            </w:r>
            <w:r w:rsidR="00862D80">
              <w:rPr>
                <w:iCs/>
                <w:lang w:val="pl-PL"/>
              </w:rPr>
              <w:t>)</w:t>
            </w:r>
            <w:r w:rsidRPr="00DA23A6">
              <w:rPr>
                <w:iCs/>
                <w:lang w:val="pl-PL"/>
              </w:rPr>
              <w:t>), astma), historia wcześniejszych reakcji na lek i liczne zespoły alergiczne</w:t>
            </w:r>
          </w:p>
        </w:tc>
      </w:tr>
      <w:tr w:rsidR="00836F5E" w:rsidRPr="00084890" w14:paraId="488BC5DC" w14:textId="77777777" w:rsidTr="0029317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709C9BE6" w14:textId="77777777" w:rsidR="00084890" w:rsidRPr="00BB1F06" w:rsidRDefault="00084890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4315CA0E" w14:textId="3F969991" w:rsidR="00084890" w:rsidRDefault="00084890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0F95CC9F" w14:textId="77777777" w:rsidR="001452D6" w:rsidRDefault="00F35E34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Ryzyko to jest wymienione w odpowiednich materiałach informacyjnych, </w:t>
            </w:r>
            <w:r w:rsidRPr="00F35E34">
              <w:rPr>
                <w:rFonts w:cs="Verdana"/>
                <w:bCs/>
                <w:lang w:val="pl-PL" w:eastAsia="en-GB"/>
              </w:rPr>
              <w:lastRenderedPageBreak/>
              <w:t>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06838710" w14:textId="64DF397B" w:rsidR="001452D6" w:rsidRDefault="001452D6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4.3</w:t>
            </w:r>
            <w:r w:rsidR="00CB07BC">
              <w:rPr>
                <w:rFonts w:cs="Verdana"/>
                <w:bCs/>
                <w:lang w:val="pl-PL" w:eastAsia="en-GB"/>
              </w:rPr>
              <w:t xml:space="preserve"> </w:t>
            </w:r>
            <w:r w:rsidR="00F35E34" w:rsidRPr="00F35E34">
              <w:rPr>
                <w:rFonts w:cs="Verdana"/>
                <w:bCs/>
                <w:lang w:val="pl-PL" w:eastAsia="en-GB"/>
              </w:rPr>
              <w:t xml:space="preserve">Przeciwwskazania </w:t>
            </w:r>
          </w:p>
          <w:p w14:paraId="5569DCFE" w14:textId="06923F99" w:rsidR="001452D6" w:rsidRDefault="001452D6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</w:t>
            </w:r>
            <w:r>
              <w:rPr>
                <w:rFonts w:cs="Verdana"/>
                <w:bCs/>
                <w:lang w:val="pl-PL" w:eastAsia="en-GB"/>
              </w:rPr>
              <w:t xml:space="preserve"> </w:t>
            </w:r>
            <w:r w:rsidR="00F35E34" w:rsidRPr="00F35E34">
              <w:rPr>
                <w:rFonts w:cs="Verdana"/>
                <w:bCs/>
                <w:lang w:val="pl-PL" w:eastAsia="en-GB"/>
              </w:rPr>
              <w:t xml:space="preserve">4.8 Działania niepożądane </w:t>
            </w:r>
          </w:p>
          <w:p w14:paraId="5A839CA6" w14:textId="77777777" w:rsidR="009B6480" w:rsidRDefault="00F35E34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 w:rsidR="009B6480"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00913AE5" w14:textId="40A854E1" w:rsidR="002033D4" w:rsidRDefault="00F35E34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 w:rsidR="00E039B9"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2 Informacje ważne przed </w:t>
            </w:r>
            <w:r w:rsidR="002033D4">
              <w:rPr>
                <w:rFonts w:cs="Verdana"/>
                <w:bCs/>
                <w:lang w:val="pl-PL" w:eastAsia="en-GB"/>
              </w:rPr>
              <w:t xml:space="preserve">zastosowaniem </w:t>
            </w:r>
            <w:r w:rsidRPr="00F35E34">
              <w:rPr>
                <w:rFonts w:cs="Verdana"/>
                <w:bCs/>
                <w:lang w:val="pl-PL" w:eastAsia="en-GB"/>
              </w:rPr>
              <w:t>leku</w:t>
            </w:r>
          </w:p>
          <w:p w14:paraId="0F8E3189" w14:textId="0F645305" w:rsidR="00F35E34" w:rsidRDefault="009B6480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</w:t>
            </w:r>
            <w:r w:rsidR="00F35E34" w:rsidRPr="00F35E34">
              <w:rPr>
                <w:rFonts w:cs="Verdana"/>
                <w:bCs/>
                <w:lang w:val="pl-PL" w:eastAsia="en-GB"/>
              </w:rPr>
              <w:t xml:space="preserve"> w </w:t>
            </w:r>
            <w:r w:rsidR="00E039B9">
              <w:rPr>
                <w:rFonts w:cs="Verdana"/>
                <w:bCs/>
                <w:lang w:val="pl-PL" w:eastAsia="en-GB"/>
              </w:rPr>
              <w:t>sekcji</w:t>
            </w:r>
            <w:r w:rsidR="00F35E34" w:rsidRPr="00F35E34">
              <w:rPr>
                <w:rFonts w:cs="Verdana"/>
                <w:bCs/>
                <w:lang w:val="pl-PL" w:eastAsia="en-GB"/>
              </w:rPr>
              <w:t xml:space="preserve"> 4 Możliwe działania niepożądane</w:t>
            </w:r>
          </w:p>
          <w:p w14:paraId="5B77F340" w14:textId="2EA27F4F" w:rsidR="001C0DDA" w:rsidRDefault="001C0DDA" w:rsidP="00CC3992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76BB1979" w14:textId="5BCAB268" w:rsidR="00E039B9" w:rsidRPr="008B0395" w:rsidRDefault="00E039B9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8B0395">
              <w:rPr>
                <w:rFonts w:cs="Verdana"/>
                <w:bCs/>
                <w:lang w:val="pl-PL" w:eastAsia="en-GB"/>
              </w:rPr>
              <w:t>Rekomendacje by nie stosować produktu są wymi</w:t>
            </w:r>
            <w:r w:rsidR="002E5EED">
              <w:rPr>
                <w:rFonts w:cs="Verdana"/>
                <w:bCs/>
                <w:lang w:val="pl-PL" w:eastAsia="en-GB"/>
              </w:rPr>
              <w:t>eni</w:t>
            </w:r>
            <w:r w:rsidRPr="008B0395">
              <w:rPr>
                <w:rFonts w:cs="Verdana"/>
                <w:bCs/>
                <w:lang w:val="pl-PL" w:eastAsia="en-GB"/>
              </w:rPr>
              <w:t xml:space="preserve">one w </w:t>
            </w:r>
            <w:proofErr w:type="spellStart"/>
            <w:r w:rsidRPr="008B0395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8B0395">
              <w:rPr>
                <w:rFonts w:cs="Verdana"/>
                <w:bCs/>
                <w:lang w:val="pl-PL" w:eastAsia="en-GB"/>
              </w:rPr>
              <w:t xml:space="preserve"> w sekcji 4.3 i Ulotce w sekcji 2</w:t>
            </w:r>
          </w:p>
          <w:p w14:paraId="01444A7E" w14:textId="74611D7E" w:rsidR="00E039B9" w:rsidRDefault="008B0395" w:rsidP="00CC3992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7E055BDF" w14:textId="6CF4CBEB" w:rsidR="008B0395" w:rsidRPr="008B0395" w:rsidRDefault="00931BF7" w:rsidP="00CC3992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</w:t>
            </w:r>
            <w:r w:rsidR="00395064">
              <w:rPr>
                <w:rFonts w:cs="Verdana"/>
                <w:bCs/>
                <w:lang w:val="pl-PL" w:eastAsia="en-GB"/>
              </w:rPr>
              <w:t xml:space="preserve"> bez przepisu lekarza (OTC)</w:t>
            </w:r>
          </w:p>
          <w:p w14:paraId="1E85E842" w14:textId="75165156" w:rsidR="00084890" w:rsidRPr="00395064" w:rsidRDefault="00084890" w:rsidP="00CC3992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3844F585" w14:textId="3B6C4109" w:rsidR="00BE459F" w:rsidRPr="00F976D4" w:rsidRDefault="00862D80" w:rsidP="00CC3992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4DCF1580" w14:textId="11BE7D4B" w:rsidR="005C3D64" w:rsidRDefault="005C3D64" w:rsidP="005C3D64">
      <w:pPr>
        <w:pStyle w:val="BodytextAgency"/>
      </w:pPr>
      <w:bookmarkStart w:id="466" w:name="_Toc444075117"/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C3D64" w:rsidRPr="00293178" w14:paraId="16AEB40B" w14:textId="77777777" w:rsidTr="003A1697">
        <w:trPr>
          <w:trHeight w:val="629"/>
        </w:trPr>
        <w:tc>
          <w:tcPr>
            <w:tcW w:w="9356" w:type="dxa"/>
            <w:gridSpan w:val="2"/>
          </w:tcPr>
          <w:p w14:paraId="7DCC037C" w14:textId="5E7B716B" w:rsidR="005C3D64" w:rsidRPr="00C87F7B" w:rsidRDefault="005C3D64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C87F7B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zidentyfikowane</w:t>
            </w:r>
            <w:r w:rsidR="00C87F7B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ryzyko</w:t>
            </w:r>
            <w:r w:rsidR="00C87F7B">
              <w:rPr>
                <w:sz w:val="20"/>
                <w:szCs w:val="20"/>
                <w:lang w:val="pl-PL"/>
              </w:rPr>
              <w:t xml:space="preserve">: </w:t>
            </w:r>
            <w:r w:rsidR="00C87F7B" w:rsidRPr="00C87F7B">
              <w:rPr>
                <w:sz w:val="20"/>
                <w:szCs w:val="20"/>
                <w:lang w:val="pl-PL"/>
              </w:rPr>
              <w:t>Stosowanie u pacjentów ze wzmożonym wydzielaniem gruczołów oddechowych (</w:t>
            </w:r>
            <w:proofErr w:type="spellStart"/>
            <w:r w:rsidR="00C87F7B" w:rsidRPr="00C87F7B">
              <w:rPr>
                <w:sz w:val="20"/>
                <w:szCs w:val="20"/>
                <w:lang w:val="pl-PL"/>
              </w:rPr>
              <w:t>bronchorrea</w:t>
            </w:r>
            <w:proofErr w:type="spellEnd"/>
            <w:r w:rsidR="00C87F7B" w:rsidRPr="00C87F7B">
              <w:rPr>
                <w:sz w:val="20"/>
                <w:szCs w:val="20"/>
                <w:lang w:val="pl-PL"/>
              </w:rPr>
              <w:t xml:space="preserve">) i zmniejszoną aktywnością śluzowo-rzęskową (zespół </w:t>
            </w:r>
            <w:proofErr w:type="spellStart"/>
            <w:r w:rsidR="00C87F7B" w:rsidRPr="00C87F7B">
              <w:rPr>
                <w:sz w:val="20"/>
                <w:szCs w:val="20"/>
                <w:lang w:val="pl-PL"/>
              </w:rPr>
              <w:t>Kartagenera</w:t>
            </w:r>
            <w:proofErr w:type="spellEnd"/>
            <w:r w:rsidR="00C87F7B" w:rsidRPr="00C87F7B">
              <w:rPr>
                <w:sz w:val="20"/>
                <w:szCs w:val="20"/>
                <w:lang w:val="pl-PL"/>
              </w:rPr>
              <w:t>, dyskineza rzęsek)</w:t>
            </w:r>
          </w:p>
        </w:tc>
      </w:tr>
      <w:tr w:rsidR="005C3D64" w:rsidRPr="00B00A7E" w14:paraId="7C2F97D3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73DD78C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Pr="00DB1A11">
              <w:rPr>
                <w:rFonts w:cs="Verdana"/>
                <w:lang w:val="pl-PL" w:eastAsia="en-GB"/>
              </w:rPr>
              <w:t xml:space="preserve">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2A82EFA0" w14:textId="7E4BD7FB" w:rsidR="005C3D64" w:rsidRPr="00F976D4" w:rsidRDefault="004C2379" w:rsidP="003A1697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4C2379">
              <w:rPr>
                <w:rFonts w:cs="Verdana"/>
                <w:bCs/>
                <w:lang w:val="pl-PL" w:eastAsia="en-GB"/>
              </w:rPr>
              <w:t xml:space="preserve">Stosowanie </w:t>
            </w:r>
            <w:proofErr w:type="spellStart"/>
            <w:r w:rsidRPr="004C2379">
              <w:rPr>
                <w:rFonts w:cs="Verdana"/>
                <w:bCs/>
                <w:lang w:val="pl-PL" w:eastAsia="en-GB"/>
              </w:rPr>
              <w:t>lewodropropizyny</w:t>
            </w:r>
            <w:proofErr w:type="spellEnd"/>
            <w:r w:rsidRPr="004C2379">
              <w:rPr>
                <w:rFonts w:cs="Verdana"/>
                <w:bCs/>
                <w:lang w:val="pl-PL" w:eastAsia="en-GB"/>
              </w:rPr>
              <w:t xml:space="preserve"> w łagodzeniu kaszlu o różnej etiologii, takiej jak kaszel związany z </w:t>
            </w:r>
            <w:r>
              <w:rPr>
                <w:rFonts w:cs="Verdana"/>
                <w:bCs/>
                <w:lang w:val="pl-PL" w:eastAsia="en-GB"/>
              </w:rPr>
              <w:t>nowotworami</w:t>
            </w:r>
            <w:r w:rsidRPr="004C2379">
              <w:rPr>
                <w:rFonts w:cs="Verdana"/>
                <w:bCs/>
                <w:lang w:val="pl-PL" w:eastAsia="en-GB"/>
              </w:rPr>
              <w:t xml:space="preserve"> oskrzeli i płuc, kaszel związany z infekcjami górnych i dolnych dróg oddechowych oraz krztuścem jest dobrze udokumentowane, chociaż stosowanie </w:t>
            </w:r>
            <w:proofErr w:type="spellStart"/>
            <w:r w:rsidRPr="004C2379">
              <w:rPr>
                <w:rFonts w:cs="Verdana"/>
                <w:bCs/>
                <w:lang w:val="pl-PL" w:eastAsia="en-GB"/>
              </w:rPr>
              <w:t>lewodropropizyny</w:t>
            </w:r>
            <w:proofErr w:type="spellEnd"/>
            <w:r w:rsidRPr="004C2379">
              <w:rPr>
                <w:rFonts w:cs="Verdana"/>
                <w:bCs/>
                <w:lang w:val="pl-PL" w:eastAsia="en-GB"/>
              </w:rPr>
              <w:t xml:space="preserve"> u pacjentów z ze wzmożonym wydzielaniem gruczołów oddechowych (</w:t>
            </w:r>
            <w:proofErr w:type="spellStart"/>
            <w:r w:rsidRPr="004C2379">
              <w:rPr>
                <w:rFonts w:cs="Verdana"/>
                <w:bCs/>
                <w:lang w:val="pl-PL" w:eastAsia="en-GB"/>
              </w:rPr>
              <w:t>bronchorrea</w:t>
            </w:r>
            <w:proofErr w:type="spellEnd"/>
            <w:r w:rsidRPr="004C2379">
              <w:rPr>
                <w:rFonts w:cs="Verdana"/>
                <w:bCs/>
                <w:lang w:val="pl-PL" w:eastAsia="en-GB"/>
              </w:rPr>
              <w:t xml:space="preserve">) i zmniejszoną aktywnością śluzowo-rzęskową (zespół </w:t>
            </w:r>
            <w:proofErr w:type="spellStart"/>
            <w:r w:rsidRPr="004C2379">
              <w:rPr>
                <w:rFonts w:cs="Verdana"/>
                <w:bCs/>
                <w:lang w:val="pl-PL" w:eastAsia="en-GB"/>
              </w:rPr>
              <w:t>Kartagenera</w:t>
            </w:r>
            <w:proofErr w:type="spellEnd"/>
            <w:r w:rsidRPr="004C2379">
              <w:rPr>
                <w:rFonts w:cs="Verdana"/>
                <w:bCs/>
                <w:lang w:val="pl-PL" w:eastAsia="en-GB"/>
              </w:rPr>
              <w:t xml:space="preserve">, dyskineza rzęsek) </w:t>
            </w:r>
            <w:r>
              <w:rPr>
                <w:rFonts w:cs="Verdana"/>
                <w:bCs/>
                <w:lang w:val="pl-PL" w:eastAsia="en-GB"/>
              </w:rPr>
              <w:t>jest</w:t>
            </w:r>
            <w:r w:rsidRPr="004C2379">
              <w:rPr>
                <w:rFonts w:cs="Verdana"/>
                <w:bCs/>
                <w:lang w:val="pl-PL" w:eastAsia="en-GB"/>
              </w:rPr>
              <w:t xml:space="preserve"> przeciwwskazane. U tych pacjentów możliwe jest, że przeciwkaszlowe działanie </w:t>
            </w:r>
            <w:proofErr w:type="spellStart"/>
            <w:r w:rsidRPr="004C2379">
              <w:rPr>
                <w:rFonts w:cs="Verdana"/>
                <w:bCs/>
                <w:lang w:val="pl-PL" w:eastAsia="en-GB"/>
              </w:rPr>
              <w:t>lewodropropizyny</w:t>
            </w:r>
            <w:proofErr w:type="spellEnd"/>
            <w:r w:rsidRPr="004C2379">
              <w:rPr>
                <w:rFonts w:cs="Verdana"/>
                <w:bCs/>
                <w:lang w:val="pl-PL" w:eastAsia="en-GB"/>
              </w:rPr>
              <w:t xml:space="preserve"> może hamować wydalanie śluzu, powodując w ten sposób lub nasilając</w:t>
            </w:r>
            <w:r w:rsidR="001428FB">
              <w:rPr>
                <w:rFonts w:cs="Verdana"/>
                <w:bCs/>
                <w:lang w:val="pl-PL" w:eastAsia="en-GB"/>
              </w:rPr>
              <w:t xml:space="preserve"> już istniejące</w:t>
            </w:r>
            <w:r w:rsidRPr="004C2379">
              <w:rPr>
                <w:rFonts w:cs="Verdana"/>
                <w:bCs/>
                <w:lang w:val="pl-PL" w:eastAsia="en-GB"/>
              </w:rPr>
              <w:t xml:space="preserve"> choroby zakaźne dróg oddechowych.</w:t>
            </w:r>
          </w:p>
        </w:tc>
      </w:tr>
      <w:tr w:rsidR="005C3D64" w:rsidRPr="00084890" w14:paraId="76DF0ECF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8E07D87" w14:textId="77777777" w:rsidR="005C3D64" w:rsidRPr="00DB1A11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  <w:p w14:paraId="673C71E4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14EA2D78" w14:textId="334162F3" w:rsidR="005C3D64" w:rsidRPr="00F976D4" w:rsidRDefault="00E966D8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A332A7">
              <w:rPr>
                <w:rFonts w:cs="Verdana"/>
                <w:bCs/>
                <w:lang w:val="pl-PL" w:eastAsia="en-GB"/>
              </w:rPr>
              <w:t xml:space="preserve">Oprócz raka </w:t>
            </w:r>
            <w:proofErr w:type="spellStart"/>
            <w:r w:rsidRPr="00A332A7">
              <w:rPr>
                <w:rFonts w:cs="Verdana"/>
                <w:bCs/>
                <w:lang w:val="pl-PL" w:eastAsia="en-GB"/>
              </w:rPr>
              <w:t>oskrzelikowo</w:t>
            </w:r>
            <w:proofErr w:type="spellEnd"/>
            <w:r w:rsidRPr="00A332A7">
              <w:rPr>
                <w:rFonts w:cs="Verdana"/>
                <w:bCs/>
                <w:lang w:val="pl-PL" w:eastAsia="en-GB"/>
              </w:rPr>
              <w:t xml:space="preserve">-pęcherzykowego i przerzutów do płuc, </w:t>
            </w:r>
            <w:r w:rsidR="000B5D75" w:rsidRPr="00A332A7">
              <w:rPr>
                <w:rFonts w:cs="Verdana"/>
                <w:bCs/>
                <w:lang w:val="pl-PL" w:eastAsia="en-GB"/>
              </w:rPr>
              <w:t xml:space="preserve">wzmożone </w:t>
            </w:r>
            <w:r w:rsidR="00A332A7" w:rsidRPr="00A332A7">
              <w:rPr>
                <w:rFonts w:cs="Verdana"/>
                <w:bCs/>
                <w:lang w:val="pl-PL" w:eastAsia="en-GB"/>
              </w:rPr>
              <w:t>wydzielanie gruczołów oddechowych</w:t>
            </w:r>
            <w:r w:rsidRPr="00A332A7">
              <w:rPr>
                <w:rFonts w:cs="Verdana"/>
                <w:bCs/>
                <w:lang w:val="pl-PL" w:eastAsia="en-GB"/>
              </w:rPr>
              <w:t xml:space="preserve"> może być również niezbyt często związana z procesami niezłośliwymi, takimi jak przewlekłe zapalenie oskrzeli, astma i gruźlica. Obszar geograficzny i pokrewieństwo mogą wpływać na występowanie pierwotnych dyskinez. Konkretne typy wad są spójne w poszczególnych rodzinach i wydają się być uwarunkowane genetycznie.</w:t>
            </w:r>
          </w:p>
        </w:tc>
      </w:tr>
      <w:tr w:rsidR="005C3D64" w:rsidRPr="00084890" w14:paraId="42DA901C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66482092" w14:textId="77777777" w:rsidR="005C3D64" w:rsidRPr="00BB1F06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lastRenderedPageBreak/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58685738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35E6DB0F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746E8E83" w14:textId="365F2958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 w:rsidR="009E687D">
              <w:rPr>
                <w:rFonts w:cs="Verdana"/>
                <w:bCs/>
                <w:lang w:val="pl-PL" w:eastAsia="en-GB"/>
              </w:rPr>
              <w:t>1</w:t>
            </w:r>
            <w:r>
              <w:rPr>
                <w:rFonts w:cs="Verdana"/>
                <w:bCs/>
                <w:lang w:val="pl-PL" w:eastAsia="en-GB"/>
              </w:rPr>
              <w:t xml:space="preserve"> </w:t>
            </w:r>
            <w:r w:rsidR="008A1529" w:rsidRPr="008A1529">
              <w:rPr>
                <w:rFonts w:cs="Verdana"/>
                <w:bCs/>
                <w:lang w:val="pl-PL" w:eastAsia="en-GB"/>
              </w:rPr>
              <w:t>Wskazania do stosowania</w:t>
            </w:r>
          </w:p>
          <w:p w14:paraId="505E1D0B" w14:textId="2B26120B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 </w:t>
            </w:r>
            <w:r w:rsidRPr="00F35E34">
              <w:rPr>
                <w:rFonts w:cs="Verdana"/>
                <w:bCs/>
                <w:lang w:val="pl-PL" w:eastAsia="en-GB"/>
              </w:rPr>
              <w:t>4</w:t>
            </w:r>
            <w:r w:rsidR="008A1529">
              <w:rPr>
                <w:rFonts w:cs="Verdana"/>
                <w:bCs/>
                <w:lang w:val="pl-PL" w:eastAsia="en-GB"/>
              </w:rPr>
              <w:t>.2</w:t>
            </w:r>
            <w:r w:rsidRPr="00F35E34">
              <w:rPr>
                <w:rFonts w:cs="Verdana"/>
                <w:bCs/>
                <w:lang w:val="pl-PL" w:eastAsia="en-GB"/>
              </w:rPr>
              <w:t xml:space="preserve"> </w:t>
            </w:r>
            <w:r w:rsidR="008A1529" w:rsidRPr="008A1529">
              <w:rPr>
                <w:rFonts w:cs="Verdana"/>
                <w:bCs/>
                <w:lang w:val="pl-PL" w:eastAsia="en-GB"/>
              </w:rPr>
              <w:t>Dawkowanie i sposób podawania</w:t>
            </w:r>
          </w:p>
          <w:p w14:paraId="23342760" w14:textId="6909E427" w:rsidR="008A1529" w:rsidRDefault="008A1529" w:rsidP="008A152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</w:t>
            </w:r>
            <w:r w:rsidR="00CB07BC">
              <w:rPr>
                <w:rFonts w:cs="Verdana"/>
                <w:bCs/>
                <w:lang w:val="pl-PL" w:eastAsia="en-GB"/>
              </w:rPr>
              <w:t>.3 Przeciwwskazania</w:t>
            </w:r>
          </w:p>
          <w:p w14:paraId="2911C188" w14:textId="5830D450" w:rsidR="008A1529" w:rsidRDefault="008A1529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</w:t>
            </w:r>
            <w:r w:rsidR="00CB07BC">
              <w:rPr>
                <w:rFonts w:cs="Verdana"/>
                <w:bCs/>
                <w:lang w:val="pl-PL" w:eastAsia="en-GB"/>
              </w:rPr>
              <w:t>5.1</w:t>
            </w:r>
            <w:r>
              <w:rPr>
                <w:rFonts w:cs="Verdana"/>
                <w:bCs/>
                <w:lang w:val="pl-PL" w:eastAsia="en-GB"/>
              </w:rPr>
              <w:t xml:space="preserve"> </w:t>
            </w:r>
            <w:r w:rsidR="003E73A6" w:rsidRPr="003E73A6">
              <w:rPr>
                <w:rFonts w:cs="Verdana"/>
                <w:bCs/>
                <w:lang w:val="pl-PL" w:eastAsia="en-GB"/>
              </w:rPr>
              <w:t>Właściwości farmakodynamiczne</w:t>
            </w:r>
          </w:p>
          <w:p w14:paraId="458D06BD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4E484F09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2 Informacje ważne przed </w:t>
            </w:r>
            <w:r>
              <w:rPr>
                <w:rFonts w:cs="Verdana"/>
                <w:bCs/>
                <w:lang w:val="pl-PL" w:eastAsia="en-GB"/>
              </w:rPr>
              <w:t xml:space="preserve">zastosowaniem </w:t>
            </w:r>
            <w:r w:rsidRPr="00F35E34">
              <w:rPr>
                <w:rFonts w:cs="Verdana"/>
                <w:bCs/>
                <w:lang w:val="pl-PL" w:eastAsia="en-GB"/>
              </w:rPr>
              <w:t>leku</w:t>
            </w:r>
          </w:p>
          <w:p w14:paraId="54DED21A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032F1115" w14:textId="019AED68" w:rsidR="00A332A7" w:rsidRPr="008B0395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8B0395">
              <w:rPr>
                <w:rFonts w:cs="Verdana"/>
                <w:bCs/>
                <w:lang w:val="pl-PL" w:eastAsia="en-GB"/>
              </w:rPr>
              <w:t>Rekomendacje by nie stosować produktu są wymi</w:t>
            </w:r>
            <w:r w:rsidR="002E5EED">
              <w:rPr>
                <w:rFonts w:cs="Verdana"/>
                <w:bCs/>
                <w:lang w:val="pl-PL" w:eastAsia="en-GB"/>
              </w:rPr>
              <w:t>enione</w:t>
            </w:r>
            <w:r w:rsidRPr="008B0395">
              <w:rPr>
                <w:rFonts w:cs="Verdana"/>
                <w:bCs/>
                <w:lang w:val="pl-PL" w:eastAsia="en-GB"/>
              </w:rPr>
              <w:t xml:space="preserve"> w </w:t>
            </w:r>
            <w:proofErr w:type="spellStart"/>
            <w:r w:rsidRPr="008B0395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8B0395">
              <w:rPr>
                <w:rFonts w:cs="Verdana"/>
                <w:bCs/>
                <w:lang w:val="pl-PL" w:eastAsia="en-GB"/>
              </w:rPr>
              <w:t xml:space="preserve"> w sekcji 4.3 i Ulotce w sekcji 2</w:t>
            </w:r>
          </w:p>
          <w:p w14:paraId="3FAEF9BE" w14:textId="77777777" w:rsidR="00A332A7" w:rsidRDefault="00A332A7" w:rsidP="00A332A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36AFC0D3" w14:textId="77777777" w:rsidR="00A332A7" w:rsidRPr="008B0395" w:rsidRDefault="00A332A7" w:rsidP="00A332A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0F851E1F" w14:textId="77777777" w:rsidR="00A332A7" w:rsidRPr="00395064" w:rsidRDefault="00A332A7" w:rsidP="00A332A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295BD3D6" w14:textId="00E138F9" w:rsidR="005C3D64" w:rsidRPr="00F976D4" w:rsidRDefault="00A332A7" w:rsidP="00A332A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53D95BD2" w14:textId="54A45C42" w:rsidR="005C3D64" w:rsidRDefault="005C3D64" w:rsidP="005C3D64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C3D64" w:rsidRPr="00293178" w14:paraId="40C0FE78" w14:textId="77777777" w:rsidTr="003A1697">
        <w:trPr>
          <w:trHeight w:val="629"/>
        </w:trPr>
        <w:tc>
          <w:tcPr>
            <w:tcW w:w="9356" w:type="dxa"/>
            <w:gridSpan w:val="2"/>
          </w:tcPr>
          <w:p w14:paraId="55D75411" w14:textId="7C97A442" w:rsidR="005C3D64" w:rsidRPr="00C81F79" w:rsidRDefault="005C3D64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C81F79" w:rsidRPr="00990638">
              <w:rPr>
                <w:sz w:val="20"/>
                <w:szCs w:val="20"/>
              </w:rPr>
              <w:t xml:space="preserve"> </w:t>
            </w:r>
            <w:r w:rsidRPr="00990638">
              <w:rPr>
                <w:sz w:val="20"/>
                <w:szCs w:val="20"/>
              </w:rPr>
              <w:t>potencjalne ryzyko</w:t>
            </w:r>
            <w:r w:rsidR="00C81F79">
              <w:rPr>
                <w:sz w:val="20"/>
                <w:szCs w:val="20"/>
                <w:lang w:val="pl-PL"/>
              </w:rPr>
              <w:t xml:space="preserve">: </w:t>
            </w:r>
            <w:r w:rsidR="00C81F79" w:rsidRPr="00C81F79">
              <w:rPr>
                <w:sz w:val="20"/>
                <w:szCs w:val="20"/>
                <w:lang w:val="pl-PL"/>
              </w:rPr>
              <w:t xml:space="preserve">Jednoczesne stosowanie </w:t>
            </w:r>
            <w:proofErr w:type="spellStart"/>
            <w:r w:rsidR="00C81F79" w:rsidRPr="00C81F79">
              <w:rPr>
                <w:sz w:val="20"/>
                <w:szCs w:val="20"/>
                <w:lang w:val="pl-PL"/>
              </w:rPr>
              <w:t>lewodropropizyny</w:t>
            </w:r>
            <w:proofErr w:type="spellEnd"/>
            <w:r w:rsidR="00C81F79" w:rsidRPr="00C81F79">
              <w:rPr>
                <w:sz w:val="20"/>
                <w:szCs w:val="20"/>
                <w:lang w:val="pl-PL"/>
              </w:rPr>
              <w:t xml:space="preserve"> z lekami uspakajającymi</w:t>
            </w:r>
          </w:p>
        </w:tc>
      </w:tr>
      <w:tr w:rsidR="005C3D64" w:rsidRPr="00B00A7E" w14:paraId="66727508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6EF29D2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Pr="00DB1A11">
              <w:rPr>
                <w:rFonts w:cs="Verdana"/>
                <w:lang w:val="pl-PL" w:eastAsia="en-GB"/>
              </w:rPr>
              <w:t xml:space="preserve">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60242A2A" w14:textId="76C2274E" w:rsidR="005C3D64" w:rsidRPr="00F976D4" w:rsidRDefault="00547182" w:rsidP="003A1697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547182">
              <w:rPr>
                <w:rFonts w:cs="Verdana"/>
                <w:bCs/>
                <w:lang w:val="pl-PL" w:eastAsia="en-GB"/>
              </w:rPr>
              <w:t xml:space="preserve">Senność była opisywana jako rzadkie działanie niepożądane podczas leczenia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lewodropropizyną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. Porównując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lewodropropizynę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 z lekami działającymi na ośrodkowy układ nerwowy, takimi jak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dihydrokodeina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, senność zgłaszano u znacznie większej liczby pacjentów leczonych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dihydrokodeiną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 niż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lewodropropizyną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, w wyniku ograniczonego działania </w:t>
            </w:r>
            <w:proofErr w:type="spellStart"/>
            <w:r w:rsidRPr="00547182">
              <w:rPr>
                <w:rFonts w:cs="Verdana"/>
                <w:bCs/>
                <w:lang w:val="pl-PL" w:eastAsia="en-GB"/>
              </w:rPr>
              <w:t>lewodropropizyny</w:t>
            </w:r>
            <w:proofErr w:type="spellEnd"/>
            <w:r w:rsidRPr="00547182">
              <w:rPr>
                <w:rFonts w:cs="Verdana"/>
                <w:bCs/>
                <w:lang w:val="pl-PL" w:eastAsia="en-GB"/>
              </w:rPr>
              <w:t xml:space="preserve"> na ośrodkowy układ nerwowy Leki </w:t>
            </w:r>
            <w:r w:rsidR="00E22563">
              <w:rPr>
                <w:rFonts w:cs="Verdana"/>
                <w:bCs/>
                <w:lang w:val="pl-PL" w:eastAsia="en-GB"/>
              </w:rPr>
              <w:t>uspakajające działają depresyjnie</w:t>
            </w:r>
            <w:r w:rsidRPr="00547182">
              <w:rPr>
                <w:rFonts w:cs="Verdana"/>
                <w:bCs/>
                <w:lang w:val="pl-PL" w:eastAsia="en-GB"/>
              </w:rPr>
              <w:t xml:space="preserve"> na </w:t>
            </w:r>
            <w:r w:rsidR="00E22563">
              <w:rPr>
                <w:rFonts w:cs="Verdana"/>
                <w:bCs/>
                <w:lang w:val="pl-PL" w:eastAsia="en-GB"/>
              </w:rPr>
              <w:t>ośrodkowy układ nerwowy</w:t>
            </w:r>
            <w:r w:rsidRPr="00547182">
              <w:rPr>
                <w:rFonts w:cs="Verdana"/>
                <w:bCs/>
                <w:lang w:val="pl-PL" w:eastAsia="en-GB"/>
              </w:rPr>
              <w:t xml:space="preserve">, </w:t>
            </w:r>
            <w:r w:rsidR="0048077D">
              <w:rPr>
                <w:rFonts w:cs="Verdana"/>
                <w:bCs/>
                <w:lang w:val="pl-PL" w:eastAsia="en-GB"/>
              </w:rPr>
              <w:t xml:space="preserve">jest to </w:t>
            </w:r>
            <w:r w:rsidRPr="00547182">
              <w:rPr>
                <w:rFonts w:cs="Verdana"/>
                <w:bCs/>
                <w:lang w:val="pl-PL" w:eastAsia="en-GB"/>
              </w:rPr>
              <w:t>kategoria leków spowalniających normalne funkcjonowanie mózgu, z których większość działa na mózg poprzez wpływ na neuroprzekaźnik kwasu gamma-aminomasłowego (GABA)</w:t>
            </w:r>
          </w:p>
        </w:tc>
      </w:tr>
      <w:tr w:rsidR="005C3D64" w:rsidRPr="00084890" w14:paraId="63B203BD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5000A3B3" w14:textId="77777777" w:rsidR="005C3D64" w:rsidRPr="00DB1A11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  <w:p w14:paraId="4394E42B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42020CCE" w14:textId="333A4C19" w:rsidR="005C3D64" w:rsidRPr="00F976D4" w:rsidRDefault="008A4E37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8A4E37">
              <w:rPr>
                <w:rFonts w:cs="Verdana"/>
                <w:bCs/>
                <w:lang w:val="pl-PL" w:eastAsia="en-GB"/>
              </w:rPr>
              <w:t>Niezależnymi czynnikami ryzyka stosowania leków uspokajających są płeć żeńska, starszy wiek, palacze oraz osoby cierpiące na lęk, napięcie, zaburzenia snu, ostre reakcje stresowe lub ataki paniki.</w:t>
            </w:r>
          </w:p>
        </w:tc>
      </w:tr>
      <w:tr w:rsidR="005C3D64" w:rsidRPr="00084890" w14:paraId="439699FA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F465FBF" w14:textId="77777777" w:rsidR="005C3D64" w:rsidRPr="00BB1F06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 xml:space="preserve">Środki minimalizacji </w:t>
            </w:r>
            <w:r w:rsidRPr="00BB1F06">
              <w:rPr>
                <w:rFonts w:cs="Verdana"/>
                <w:lang w:val="pl-PL" w:eastAsia="en-GB"/>
              </w:rPr>
              <w:lastRenderedPageBreak/>
              <w:t>ryzyka</w:t>
            </w:r>
          </w:p>
        </w:tc>
        <w:tc>
          <w:tcPr>
            <w:tcW w:w="6804" w:type="dxa"/>
            <w:shd w:val="clear" w:color="C0C0C0" w:fill="FFFFFF"/>
          </w:tcPr>
          <w:p w14:paraId="055DF89D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lastRenderedPageBreak/>
              <w:t xml:space="preserve">Rutynowe środki minimalizacji ryzyka </w:t>
            </w:r>
          </w:p>
          <w:p w14:paraId="01175D4E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lastRenderedPageBreak/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78632AA3" w14:textId="47E00A7F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 w:rsidR="003C19F6">
              <w:rPr>
                <w:rFonts w:cs="Verdana"/>
                <w:bCs/>
                <w:lang w:val="pl-PL" w:eastAsia="en-GB"/>
              </w:rPr>
              <w:t xml:space="preserve">4 </w:t>
            </w:r>
            <w:r w:rsidR="003C19F6" w:rsidRPr="003C19F6">
              <w:rPr>
                <w:rFonts w:cs="Verdana"/>
                <w:bCs/>
                <w:lang w:val="pl-PL" w:eastAsia="en-GB"/>
              </w:rPr>
              <w:t>Specjalne ostrzeżenia i środki ostrożności dotyczące stosowania</w:t>
            </w:r>
          </w:p>
          <w:p w14:paraId="0F679CFD" w14:textId="2C5DF24D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 </w:t>
            </w:r>
            <w:r w:rsidRPr="00F35E34">
              <w:rPr>
                <w:rFonts w:cs="Verdana"/>
                <w:bCs/>
                <w:lang w:val="pl-PL" w:eastAsia="en-GB"/>
              </w:rPr>
              <w:t>4</w:t>
            </w:r>
            <w:r>
              <w:rPr>
                <w:rFonts w:cs="Verdana"/>
                <w:bCs/>
                <w:lang w:val="pl-PL" w:eastAsia="en-GB"/>
              </w:rPr>
              <w:t>.</w:t>
            </w:r>
            <w:r w:rsidR="003C19F6">
              <w:rPr>
                <w:rFonts w:cs="Verdana"/>
                <w:bCs/>
                <w:lang w:val="pl-PL" w:eastAsia="en-GB"/>
              </w:rPr>
              <w:t>5</w:t>
            </w:r>
            <w:r w:rsidRPr="00F35E34">
              <w:rPr>
                <w:rFonts w:cs="Verdana"/>
                <w:bCs/>
                <w:lang w:val="pl-PL" w:eastAsia="en-GB"/>
              </w:rPr>
              <w:t xml:space="preserve"> </w:t>
            </w:r>
            <w:r w:rsidR="000E4E86" w:rsidRPr="000E4E86">
              <w:rPr>
                <w:rFonts w:cs="Verdana"/>
                <w:bCs/>
                <w:lang w:val="pl-PL" w:eastAsia="en-GB"/>
              </w:rPr>
              <w:t>Interakcje z innymi produktami leczniczymi i inne rodzaje interakcji</w:t>
            </w:r>
          </w:p>
          <w:p w14:paraId="56BD4BDC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37142CC9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2 Informacje ważne przed </w:t>
            </w:r>
            <w:r>
              <w:rPr>
                <w:rFonts w:cs="Verdana"/>
                <w:bCs/>
                <w:lang w:val="pl-PL" w:eastAsia="en-GB"/>
              </w:rPr>
              <w:t xml:space="preserve">zastosowaniem </w:t>
            </w:r>
            <w:r w:rsidRPr="00F35E34">
              <w:rPr>
                <w:rFonts w:cs="Verdana"/>
                <w:bCs/>
                <w:lang w:val="pl-PL" w:eastAsia="en-GB"/>
              </w:rPr>
              <w:t>leku</w:t>
            </w:r>
          </w:p>
          <w:p w14:paraId="1C06EA25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50516016" w14:textId="2DBE3166" w:rsidR="008A4E37" w:rsidRPr="008B0395" w:rsidRDefault="00616582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616582">
              <w:rPr>
                <w:rFonts w:cs="Verdana"/>
                <w:bCs/>
                <w:lang w:val="pl-PL" w:eastAsia="en-GB"/>
              </w:rPr>
              <w:t>Produkt leczniczy należy stosować ostrożnie podczas stosowania środków uspokajających u szczególnie wrażliwych pacjentów</w:t>
            </w:r>
            <w:r>
              <w:rPr>
                <w:rFonts w:cs="Verdana"/>
                <w:bCs/>
                <w:lang w:val="pl-PL" w:eastAsia="en-GB"/>
              </w:rPr>
              <w:t>. Taka r</w:t>
            </w:r>
            <w:r w:rsidR="008A4E37" w:rsidRPr="008B0395">
              <w:rPr>
                <w:rFonts w:cs="Verdana"/>
                <w:bCs/>
                <w:lang w:val="pl-PL" w:eastAsia="en-GB"/>
              </w:rPr>
              <w:t>ekomendacj</w:t>
            </w:r>
            <w:r>
              <w:rPr>
                <w:rFonts w:cs="Verdana"/>
                <w:bCs/>
                <w:lang w:val="pl-PL" w:eastAsia="en-GB"/>
              </w:rPr>
              <w:t xml:space="preserve">a jest wymieniona w </w:t>
            </w:r>
            <w:r w:rsidR="008A4E37" w:rsidRPr="008B0395">
              <w:rPr>
                <w:rFonts w:cs="Verdana"/>
                <w:bCs/>
                <w:lang w:val="pl-PL" w:eastAsia="en-GB"/>
              </w:rPr>
              <w:t xml:space="preserve"> </w:t>
            </w:r>
            <w:proofErr w:type="spellStart"/>
            <w:r w:rsidR="008A4E37" w:rsidRPr="008B0395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="008A4E37" w:rsidRPr="008B0395">
              <w:rPr>
                <w:rFonts w:cs="Verdana"/>
                <w:bCs/>
                <w:lang w:val="pl-PL" w:eastAsia="en-GB"/>
              </w:rPr>
              <w:t xml:space="preserve"> w sekcj</w:t>
            </w:r>
            <w:r>
              <w:rPr>
                <w:rFonts w:cs="Verdana"/>
                <w:bCs/>
                <w:lang w:val="pl-PL" w:eastAsia="en-GB"/>
              </w:rPr>
              <w:t>ach</w:t>
            </w:r>
            <w:r w:rsidR="008A4E37" w:rsidRPr="008B0395">
              <w:rPr>
                <w:rFonts w:cs="Verdana"/>
                <w:bCs/>
                <w:lang w:val="pl-PL" w:eastAsia="en-GB"/>
              </w:rPr>
              <w:t xml:space="preserve"> 4.</w:t>
            </w:r>
            <w:r>
              <w:rPr>
                <w:rFonts w:cs="Verdana"/>
                <w:bCs/>
                <w:lang w:val="pl-PL" w:eastAsia="en-GB"/>
              </w:rPr>
              <w:t>4 i 4.5</w:t>
            </w:r>
            <w:r w:rsidR="008A4E37" w:rsidRPr="008B0395">
              <w:rPr>
                <w:rFonts w:cs="Verdana"/>
                <w:bCs/>
                <w:lang w:val="pl-PL" w:eastAsia="en-GB"/>
              </w:rPr>
              <w:t xml:space="preserve"> i Ulotce w sekcji 2</w:t>
            </w:r>
          </w:p>
          <w:p w14:paraId="5CE0133E" w14:textId="77777777" w:rsidR="008A4E37" w:rsidRDefault="008A4E37" w:rsidP="008A4E3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1B4F16E7" w14:textId="77777777" w:rsidR="008A4E37" w:rsidRPr="008B0395" w:rsidRDefault="008A4E37" w:rsidP="008A4E3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442E6C8A" w14:textId="77777777" w:rsidR="008A4E37" w:rsidRPr="00395064" w:rsidRDefault="008A4E37" w:rsidP="008A4E3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0A92FA3D" w14:textId="4406D50E" w:rsidR="005C3D64" w:rsidRPr="00F976D4" w:rsidRDefault="008A4E37" w:rsidP="008A4E3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40742911" w14:textId="7B6532A7" w:rsidR="005C3D64" w:rsidRDefault="005C3D64" w:rsidP="005C3D64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C3D64" w:rsidRPr="00293178" w14:paraId="5C36DDE4" w14:textId="77777777" w:rsidTr="003A1697">
        <w:trPr>
          <w:trHeight w:val="629"/>
        </w:trPr>
        <w:tc>
          <w:tcPr>
            <w:tcW w:w="9356" w:type="dxa"/>
            <w:gridSpan w:val="2"/>
          </w:tcPr>
          <w:p w14:paraId="039DEA6C" w14:textId="3474332A" w:rsidR="005C3D64" w:rsidRPr="00FA4282" w:rsidRDefault="005C3D64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FA4282" w:rsidRPr="00990638">
              <w:rPr>
                <w:sz w:val="20"/>
                <w:szCs w:val="20"/>
              </w:rPr>
              <w:t xml:space="preserve"> </w:t>
            </w:r>
            <w:r w:rsidRPr="00990638">
              <w:rPr>
                <w:sz w:val="20"/>
                <w:szCs w:val="20"/>
              </w:rPr>
              <w:t>potencjalne ryzyko</w:t>
            </w:r>
            <w:r w:rsidR="00FA4282">
              <w:rPr>
                <w:sz w:val="20"/>
                <w:szCs w:val="20"/>
                <w:lang w:val="pl-PL"/>
              </w:rPr>
              <w:t xml:space="preserve"> : </w:t>
            </w:r>
            <w:r w:rsidR="00FA4282" w:rsidRPr="00FA4282">
              <w:rPr>
                <w:sz w:val="20"/>
                <w:szCs w:val="20"/>
                <w:lang w:val="pl-PL"/>
              </w:rPr>
              <w:t>Stosowanie u pacjentów z cukrzycą oraz dziedzicznymi chorobami wpływającymi na metabolizm cukru</w:t>
            </w:r>
          </w:p>
        </w:tc>
      </w:tr>
      <w:tr w:rsidR="005C3D64" w:rsidRPr="00B00A7E" w14:paraId="63CF60B4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FEB578F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Pr="00DB1A11">
              <w:rPr>
                <w:rFonts w:cs="Verdana"/>
                <w:lang w:val="pl-PL" w:eastAsia="en-GB"/>
              </w:rPr>
              <w:t xml:space="preserve">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428AD9B9" w14:textId="66794531" w:rsidR="005C3D64" w:rsidRPr="00F976D4" w:rsidRDefault="00BE2A10" w:rsidP="003A1697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BE2A10">
              <w:rPr>
                <w:rFonts w:cs="Verdana"/>
                <w:bCs/>
                <w:lang w:val="pl-PL" w:eastAsia="en-GB"/>
              </w:rPr>
              <w:t>Zawartość sacharozy w syropie może</w:t>
            </w:r>
            <w:r>
              <w:rPr>
                <w:rFonts w:cs="Verdana"/>
                <w:bCs/>
                <w:lang w:val="pl-PL" w:eastAsia="en-GB"/>
              </w:rPr>
              <w:t xml:space="preserve"> wpływać na</w:t>
            </w:r>
            <w:r w:rsidRPr="00BE2A10">
              <w:rPr>
                <w:rFonts w:cs="Verdana"/>
                <w:bCs/>
                <w:lang w:val="pl-PL" w:eastAsia="en-GB"/>
              </w:rPr>
              <w:t xml:space="preserve"> metabolizm lipidów i glukozy, a tym samym zwiększać ryzyko </w:t>
            </w:r>
            <w:proofErr w:type="spellStart"/>
            <w:r w:rsidRPr="00BE2A10">
              <w:rPr>
                <w:rFonts w:cs="Verdana"/>
                <w:bCs/>
                <w:lang w:val="pl-PL" w:eastAsia="en-GB"/>
              </w:rPr>
              <w:t>dyslipidemii</w:t>
            </w:r>
            <w:proofErr w:type="spellEnd"/>
            <w:r w:rsidRPr="00BE2A10">
              <w:rPr>
                <w:rFonts w:cs="Verdana"/>
                <w:bCs/>
                <w:lang w:val="pl-PL" w:eastAsia="en-GB"/>
              </w:rPr>
              <w:t xml:space="preserve"> i hiperglikemii lub może prowadzić do </w:t>
            </w:r>
            <w:r>
              <w:rPr>
                <w:rFonts w:cs="Verdana"/>
                <w:bCs/>
                <w:lang w:val="pl-PL" w:eastAsia="en-GB"/>
              </w:rPr>
              <w:t xml:space="preserve">pogorszenia </w:t>
            </w:r>
            <w:r w:rsidRPr="00BE2A10">
              <w:rPr>
                <w:rFonts w:cs="Verdana"/>
                <w:bCs/>
                <w:lang w:val="pl-PL" w:eastAsia="en-GB"/>
              </w:rPr>
              <w:t xml:space="preserve">kontroli glikemii, zwłaszcza u pacjentów z cukrzycą. U pacjentów z dziedzicznymi zaburzeniami metabolizmu cukrów (np. </w:t>
            </w:r>
            <w:r>
              <w:rPr>
                <w:rFonts w:cs="Verdana"/>
                <w:bCs/>
                <w:lang w:val="pl-PL" w:eastAsia="en-GB"/>
              </w:rPr>
              <w:t>n</w:t>
            </w:r>
            <w:r w:rsidRPr="00BE2A10">
              <w:rPr>
                <w:rFonts w:cs="Verdana"/>
                <w:bCs/>
                <w:lang w:val="pl-PL" w:eastAsia="en-GB"/>
              </w:rPr>
              <w:t xml:space="preserve">ietolerancja fruktozy z niedoborem </w:t>
            </w:r>
            <w:proofErr w:type="spellStart"/>
            <w:r w:rsidRPr="00BE2A10">
              <w:rPr>
                <w:rFonts w:cs="Verdana"/>
                <w:bCs/>
                <w:lang w:val="pl-PL" w:eastAsia="en-GB"/>
              </w:rPr>
              <w:t>sacharazy-izomaltazy</w:t>
            </w:r>
            <w:proofErr w:type="spellEnd"/>
            <w:r w:rsidRPr="00BE2A10">
              <w:rPr>
                <w:rFonts w:cs="Verdana"/>
                <w:bCs/>
                <w:lang w:val="pl-PL" w:eastAsia="en-GB"/>
              </w:rPr>
              <w:t xml:space="preserve">, zespół złego wchłaniania glukozy-galaktozy) zmieniony metabolizm i wchłanianie sacharozy, fruktozy i glukozy mogą być odpowiedzialne zarówno za działania niepożądane ze strony przewodu pokarmowego (np. </w:t>
            </w:r>
            <w:r>
              <w:rPr>
                <w:rFonts w:cs="Verdana"/>
                <w:bCs/>
                <w:lang w:val="pl-PL" w:eastAsia="en-GB"/>
              </w:rPr>
              <w:t>w</w:t>
            </w:r>
            <w:r w:rsidRPr="00BE2A10">
              <w:rPr>
                <w:rFonts w:cs="Verdana"/>
                <w:bCs/>
                <w:lang w:val="pl-PL" w:eastAsia="en-GB"/>
              </w:rPr>
              <w:t>zdęcia jelita cienkiego, ból, nudności, zwiększona motoryka jelit, biegunka), a czasami objawy ogólnoustrojowe (bóle głowy, zawroty głowy, zaburzenia pamięci i letarg)</w:t>
            </w:r>
          </w:p>
        </w:tc>
      </w:tr>
      <w:tr w:rsidR="005C3D64" w:rsidRPr="00084890" w14:paraId="2D72A27C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25BDB2B5" w14:textId="77777777" w:rsidR="005C3D64" w:rsidRPr="00DB1A11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t>Czynniki ryzyka i grupy ryzyka</w:t>
            </w:r>
          </w:p>
          <w:p w14:paraId="797D9102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26106DFF" w14:textId="77777777" w:rsidR="008A510A" w:rsidRDefault="000E7A50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0E7A50">
              <w:rPr>
                <w:rFonts w:cs="Verdana"/>
                <w:lang w:val="pl-PL" w:eastAsia="en-GB"/>
              </w:rPr>
              <w:t xml:space="preserve">Cukrzyca typu 1 jest wynikiem autoimmunologicznego niszczenia komórek beta trzustki i obejmuje zarówno predyspozycje genetyczne, jak i </w:t>
            </w:r>
            <w:r>
              <w:rPr>
                <w:rFonts w:cs="Verdana"/>
                <w:lang w:val="pl-PL" w:eastAsia="en-GB"/>
              </w:rPr>
              <w:t>komponent zależny od wpływu środowiska</w:t>
            </w:r>
            <w:r w:rsidRPr="000E7A50">
              <w:rPr>
                <w:rFonts w:cs="Verdana"/>
                <w:lang w:val="pl-PL" w:eastAsia="en-GB"/>
              </w:rPr>
              <w:t xml:space="preserve"> (wirusy, toksyczne chemikalia). Głównymi czynnikami ryzyka cukrzycy typu 2 są wiek powyżej 45 lat, nadmierne spożycie kalorii, otyłość, wywiad rodzinny, </w:t>
            </w:r>
            <w:r w:rsidRPr="000E7A50">
              <w:rPr>
                <w:rFonts w:cs="Verdana"/>
                <w:lang w:val="pl-PL" w:eastAsia="en-GB"/>
              </w:rPr>
              <w:lastRenderedPageBreak/>
              <w:t xml:space="preserve">rasa, wcześniejszy wywiad z upośledzoną tolerancją glukozy / glukozą na czczo lub cukrzycą ciążową, nadciśnienie lub </w:t>
            </w:r>
            <w:proofErr w:type="spellStart"/>
            <w:r w:rsidRPr="000E7A50">
              <w:rPr>
                <w:rFonts w:cs="Verdana"/>
                <w:lang w:val="pl-PL" w:eastAsia="en-GB"/>
              </w:rPr>
              <w:t>dyslipidemia</w:t>
            </w:r>
            <w:proofErr w:type="spellEnd"/>
            <w:r w:rsidRPr="000E7A50">
              <w:rPr>
                <w:rFonts w:cs="Verdana"/>
                <w:lang w:val="pl-PL" w:eastAsia="en-GB"/>
              </w:rPr>
              <w:t xml:space="preserve">. </w:t>
            </w:r>
          </w:p>
          <w:p w14:paraId="6130EFF6" w14:textId="10470D5B" w:rsidR="005C3D64" w:rsidRPr="00F976D4" w:rsidRDefault="0048094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Dziedziczne defekty </w:t>
            </w:r>
            <w:r w:rsidR="000E7A50" w:rsidRPr="000E7A50">
              <w:rPr>
                <w:rFonts w:cs="Verdana"/>
                <w:lang w:val="pl-PL" w:eastAsia="en-GB"/>
              </w:rPr>
              <w:t>wpływające na metabolizm węglowodanów</w:t>
            </w:r>
            <w:r>
              <w:rPr>
                <w:rFonts w:cs="Verdana"/>
                <w:lang w:val="pl-PL" w:eastAsia="en-GB"/>
              </w:rPr>
              <w:t xml:space="preserve"> </w:t>
            </w:r>
            <w:r w:rsidR="000E7A50" w:rsidRPr="000E7A50">
              <w:rPr>
                <w:rFonts w:cs="Verdana"/>
                <w:lang w:val="pl-PL" w:eastAsia="en-GB"/>
              </w:rPr>
              <w:t>są dziedziczone jako cechy autosomalne recesywne. Chociaż w rodzinie można zidentyfikować wiele dotkniętych chorobą rodzeństwa, najbardziej dotknięte osoby są pierwszymi identyfikowanymi w rodzinie</w:t>
            </w:r>
          </w:p>
        </w:tc>
      </w:tr>
      <w:tr w:rsidR="005C3D64" w:rsidRPr="00084890" w14:paraId="0452B9D8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21D03B07" w14:textId="77777777" w:rsidR="005C3D64" w:rsidRPr="00BB1F06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lastRenderedPageBreak/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4D1ADE27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1AC96473" w14:textId="5A0A8E5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>:</w:t>
            </w:r>
          </w:p>
          <w:p w14:paraId="3B1F4C65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4.4 </w:t>
            </w:r>
            <w:r w:rsidRPr="003C19F6">
              <w:rPr>
                <w:rFonts w:cs="Verdana"/>
                <w:bCs/>
                <w:lang w:val="pl-PL" w:eastAsia="en-GB"/>
              </w:rPr>
              <w:t>Specjalne ostrzeżenia i środki ostrożności dotyczące stosowania</w:t>
            </w:r>
          </w:p>
          <w:p w14:paraId="5614CE92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77458C9B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2 Informacje ważne przed </w:t>
            </w:r>
            <w:r>
              <w:rPr>
                <w:rFonts w:cs="Verdana"/>
                <w:bCs/>
                <w:lang w:val="pl-PL" w:eastAsia="en-GB"/>
              </w:rPr>
              <w:t xml:space="preserve">zastosowaniem </w:t>
            </w:r>
            <w:r w:rsidRPr="00F35E34">
              <w:rPr>
                <w:rFonts w:cs="Verdana"/>
                <w:bCs/>
                <w:lang w:val="pl-PL" w:eastAsia="en-GB"/>
              </w:rPr>
              <w:t>leku</w:t>
            </w:r>
          </w:p>
          <w:p w14:paraId="423000C8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469AD6D7" w14:textId="48E6D1C7" w:rsidR="00480944" w:rsidRPr="008B0395" w:rsidRDefault="00D542BE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D542BE">
              <w:rPr>
                <w:rFonts w:cs="Verdana"/>
                <w:bCs/>
                <w:lang w:val="pl-PL" w:eastAsia="en-GB"/>
              </w:rPr>
              <w:t xml:space="preserve">Lek zawiera 6 g sacharozy w jednej dawce (10 ml): pacjenci z rzadkimi dziedzicznymi zaburzeniami związanymi z nietolerancją fruktozy, zespołem złego wchłaniania glukozy-galaktozy lub niedoborem </w:t>
            </w:r>
            <w:proofErr w:type="spellStart"/>
            <w:r w:rsidRPr="00D542BE">
              <w:rPr>
                <w:rFonts w:cs="Verdana"/>
                <w:bCs/>
                <w:lang w:val="pl-PL" w:eastAsia="en-GB"/>
              </w:rPr>
              <w:t>sacharazy-izomaltazy</w:t>
            </w:r>
            <w:proofErr w:type="spellEnd"/>
            <w:r w:rsidRPr="00D542BE">
              <w:rPr>
                <w:rFonts w:cs="Verdana"/>
                <w:bCs/>
                <w:lang w:val="pl-PL" w:eastAsia="en-GB"/>
              </w:rPr>
              <w:t xml:space="preserve"> nie powinni przyjmować tego leku. Należy to wziąć pod uwagę u pacjentów z cukrzycą.</w:t>
            </w:r>
            <w:r w:rsidR="00480944">
              <w:rPr>
                <w:rFonts w:cs="Verdana"/>
                <w:bCs/>
                <w:lang w:val="pl-PL" w:eastAsia="en-GB"/>
              </w:rPr>
              <w:t xml:space="preserve"> Taka r</w:t>
            </w:r>
            <w:r w:rsidR="00480944" w:rsidRPr="008B0395">
              <w:rPr>
                <w:rFonts w:cs="Verdana"/>
                <w:bCs/>
                <w:lang w:val="pl-PL" w:eastAsia="en-GB"/>
              </w:rPr>
              <w:t>ekomendacj</w:t>
            </w:r>
            <w:r w:rsidR="00480944">
              <w:rPr>
                <w:rFonts w:cs="Verdana"/>
                <w:bCs/>
                <w:lang w:val="pl-PL" w:eastAsia="en-GB"/>
              </w:rPr>
              <w:t xml:space="preserve">a jest wymieniona w </w:t>
            </w:r>
            <w:r w:rsidR="00480944" w:rsidRPr="008B0395">
              <w:rPr>
                <w:rFonts w:cs="Verdana"/>
                <w:bCs/>
                <w:lang w:val="pl-PL" w:eastAsia="en-GB"/>
              </w:rPr>
              <w:t xml:space="preserve"> </w:t>
            </w:r>
            <w:proofErr w:type="spellStart"/>
            <w:r w:rsidR="00480944" w:rsidRPr="008B0395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="00480944" w:rsidRPr="008B0395">
              <w:rPr>
                <w:rFonts w:cs="Verdana"/>
                <w:bCs/>
                <w:lang w:val="pl-PL" w:eastAsia="en-GB"/>
              </w:rPr>
              <w:t xml:space="preserve"> w </w:t>
            </w:r>
            <w:r w:rsidR="00BA080F" w:rsidRPr="008B0395">
              <w:rPr>
                <w:rFonts w:cs="Verdana"/>
                <w:bCs/>
                <w:lang w:val="pl-PL" w:eastAsia="en-GB"/>
              </w:rPr>
              <w:t>sekcj</w:t>
            </w:r>
            <w:r w:rsidR="00BA080F">
              <w:rPr>
                <w:rFonts w:cs="Verdana"/>
                <w:bCs/>
                <w:lang w:val="pl-PL" w:eastAsia="en-GB"/>
              </w:rPr>
              <w:t>i</w:t>
            </w:r>
            <w:r w:rsidR="00480944" w:rsidRPr="008B0395">
              <w:rPr>
                <w:rFonts w:cs="Verdana"/>
                <w:bCs/>
                <w:lang w:val="pl-PL" w:eastAsia="en-GB"/>
              </w:rPr>
              <w:t xml:space="preserve"> 4.</w:t>
            </w:r>
            <w:r w:rsidR="00480944">
              <w:rPr>
                <w:rFonts w:cs="Verdana"/>
                <w:bCs/>
                <w:lang w:val="pl-PL" w:eastAsia="en-GB"/>
              </w:rPr>
              <w:t xml:space="preserve">4 </w:t>
            </w:r>
            <w:r w:rsidR="00480944" w:rsidRPr="008B0395">
              <w:rPr>
                <w:rFonts w:cs="Verdana"/>
                <w:bCs/>
                <w:lang w:val="pl-PL" w:eastAsia="en-GB"/>
              </w:rPr>
              <w:t>i Ulotce w sekcji 2</w:t>
            </w:r>
          </w:p>
          <w:p w14:paraId="3D30DC4F" w14:textId="77777777" w:rsidR="00480944" w:rsidRDefault="00480944" w:rsidP="00480944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16809340" w14:textId="77777777" w:rsidR="00480944" w:rsidRPr="008B0395" w:rsidRDefault="00480944" w:rsidP="00480944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5D9DBBD7" w14:textId="77777777" w:rsidR="00480944" w:rsidRPr="00395064" w:rsidRDefault="00480944" w:rsidP="00480944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7C19C976" w14:textId="073C0CC9" w:rsidR="005C3D64" w:rsidRPr="00F976D4" w:rsidRDefault="00480944" w:rsidP="00480944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74551FA2" w14:textId="00AB8A82" w:rsidR="005C3D64" w:rsidRDefault="005C3D64" w:rsidP="005C3D64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C3D64" w:rsidRPr="00293178" w14:paraId="28511297" w14:textId="77777777" w:rsidTr="003A1697">
        <w:trPr>
          <w:trHeight w:val="629"/>
        </w:trPr>
        <w:tc>
          <w:tcPr>
            <w:tcW w:w="9356" w:type="dxa"/>
            <w:gridSpan w:val="2"/>
          </w:tcPr>
          <w:p w14:paraId="74B03E40" w14:textId="1411D325" w:rsidR="005C3D64" w:rsidRPr="00D542BE" w:rsidRDefault="005C3D64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D542BE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potencjalne ryzyko</w:t>
            </w:r>
            <w:r w:rsidR="00D542BE">
              <w:rPr>
                <w:sz w:val="20"/>
                <w:szCs w:val="20"/>
                <w:lang w:val="pl-PL"/>
              </w:rPr>
              <w:t xml:space="preserve">: </w:t>
            </w:r>
            <w:r w:rsidR="00D542BE" w:rsidRPr="00D542BE">
              <w:rPr>
                <w:sz w:val="20"/>
                <w:szCs w:val="20"/>
                <w:lang w:val="pl-PL"/>
              </w:rPr>
              <w:t>Stosowanie u pacjentów z ciężką niewydolnością nerek</w:t>
            </w:r>
          </w:p>
        </w:tc>
      </w:tr>
      <w:tr w:rsidR="005C3D64" w:rsidRPr="00B00A7E" w14:paraId="33B4D53F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942EFB7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Pr="00DB1A11">
              <w:rPr>
                <w:rFonts w:cs="Verdana"/>
                <w:lang w:val="pl-PL" w:eastAsia="en-GB"/>
              </w:rPr>
              <w:t xml:space="preserve">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1F0874F6" w14:textId="77777777" w:rsidR="00A5699D" w:rsidRDefault="00A5699D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proofErr w:type="spellStart"/>
            <w:r w:rsidRPr="00A5699D">
              <w:rPr>
                <w:rFonts w:cs="Verdana"/>
                <w:lang w:val="pl-PL" w:eastAsia="en-GB"/>
              </w:rPr>
              <w:t>Lewodropropizyna</w:t>
            </w:r>
            <w:proofErr w:type="spellEnd"/>
            <w:r w:rsidRPr="00A5699D">
              <w:rPr>
                <w:rFonts w:cs="Verdana"/>
                <w:lang w:val="pl-PL" w:eastAsia="en-GB"/>
              </w:rPr>
              <w:t xml:space="preserve"> jest wydalana głównie z moczem w postaci niezmienione</w:t>
            </w:r>
            <w:r>
              <w:rPr>
                <w:rFonts w:cs="Verdana"/>
                <w:lang w:val="pl-PL" w:eastAsia="en-GB"/>
              </w:rPr>
              <w:t xml:space="preserve">j </w:t>
            </w:r>
            <w:r w:rsidRPr="00A5699D">
              <w:rPr>
                <w:rFonts w:cs="Verdana"/>
                <w:lang w:val="pl-PL" w:eastAsia="en-GB"/>
              </w:rPr>
              <w:t xml:space="preserve">jej metabolitów (sprzężona </w:t>
            </w:r>
            <w:proofErr w:type="spellStart"/>
            <w:r w:rsidRPr="00A5699D">
              <w:rPr>
                <w:rFonts w:cs="Verdana"/>
                <w:lang w:val="pl-PL" w:eastAsia="en-GB"/>
              </w:rPr>
              <w:t>lewodropropizyna</w:t>
            </w:r>
            <w:proofErr w:type="spellEnd"/>
            <w:r w:rsidRPr="00A5699D">
              <w:rPr>
                <w:rFonts w:cs="Verdana"/>
                <w:lang w:val="pl-PL" w:eastAsia="en-GB"/>
              </w:rPr>
              <w:t xml:space="preserve"> oraz wolna i sprzężona p-</w:t>
            </w:r>
            <w:proofErr w:type="spellStart"/>
            <w:r w:rsidRPr="00A5699D">
              <w:rPr>
                <w:rFonts w:cs="Verdana"/>
                <w:lang w:val="pl-PL" w:eastAsia="en-GB"/>
              </w:rPr>
              <w:t>hydroksy</w:t>
            </w:r>
            <w:proofErr w:type="spellEnd"/>
            <w:r w:rsidRPr="00A5699D">
              <w:rPr>
                <w:rFonts w:cs="Verdana"/>
                <w:lang w:val="pl-PL" w:eastAsia="en-GB"/>
              </w:rPr>
              <w:t>-</w:t>
            </w:r>
            <w:proofErr w:type="spellStart"/>
            <w:r w:rsidRPr="00A5699D">
              <w:rPr>
                <w:rFonts w:cs="Verdana"/>
                <w:lang w:val="pl-PL" w:eastAsia="en-GB"/>
              </w:rPr>
              <w:t>lewodropropizyna</w:t>
            </w:r>
            <w:proofErr w:type="spellEnd"/>
            <w:r w:rsidRPr="00A5699D">
              <w:rPr>
                <w:rFonts w:cs="Verdana"/>
                <w:lang w:val="pl-PL" w:eastAsia="en-GB"/>
              </w:rPr>
              <w:t xml:space="preserve">). Wydzielanie produktu i metabolitów z moczem w ciągu 48 godzin stanowi około 35% podanej dawki. Nie ma konieczności istotnej zmiany dawkowania </w:t>
            </w:r>
            <w:proofErr w:type="spellStart"/>
            <w:r w:rsidRPr="00A5699D">
              <w:rPr>
                <w:rFonts w:cs="Verdana"/>
                <w:lang w:val="pl-PL" w:eastAsia="en-GB"/>
              </w:rPr>
              <w:t>lewodropropizyny</w:t>
            </w:r>
            <w:proofErr w:type="spellEnd"/>
            <w:r w:rsidRPr="00A5699D">
              <w:rPr>
                <w:rFonts w:cs="Verdana"/>
                <w:lang w:val="pl-PL" w:eastAsia="en-GB"/>
              </w:rPr>
              <w:t xml:space="preserve"> u pacjentów z łagodną lub umiarkowaną niewydolnością nerek.</w:t>
            </w:r>
            <w:r>
              <w:rPr>
                <w:rFonts w:cs="Verdana"/>
                <w:lang w:val="pl-PL" w:eastAsia="en-GB"/>
              </w:rPr>
              <w:t xml:space="preserve"> </w:t>
            </w:r>
          </w:p>
          <w:p w14:paraId="27F3168D" w14:textId="194FA20C" w:rsidR="005C3D64" w:rsidRPr="00F976D4" w:rsidRDefault="00A5699D" w:rsidP="003A1697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A5699D">
              <w:rPr>
                <w:rFonts w:cs="Verdana"/>
                <w:lang w:val="pl-PL" w:eastAsia="en-GB"/>
              </w:rPr>
              <w:t xml:space="preserve">Ponieważ jednak u pacjentów z ciężką niewydolnością nerek może </w:t>
            </w:r>
            <w:r w:rsidRPr="00A5699D">
              <w:rPr>
                <w:rFonts w:cs="Verdana"/>
                <w:lang w:val="pl-PL" w:eastAsia="en-GB"/>
              </w:rPr>
              <w:lastRenderedPageBreak/>
              <w:t xml:space="preserve">wystąpić znaczne zmniejszenie współczynnika przesączania kłębuszkowego, które może stać się objawowe, zaleca się ostrożność podczas podawania </w:t>
            </w:r>
            <w:proofErr w:type="spellStart"/>
            <w:r w:rsidRPr="00A5699D">
              <w:rPr>
                <w:rFonts w:cs="Verdana"/>
                <w:lang w:val="pl-PL" w:eastAsia="en-GB"/>
              </w:rPr>
              <w:t>lewodropropizyny</w:t>
            </w:r>
            <w:proofErr w:type="spellEnd"/>
            <w:r w:rsidRPr="00A5699D">
              <w:rPr>
                <w:rFonts w:cs="Verdana"/>
                <w:lang w:val="pl-PL" w:eastAsia="en-GB"/>
              </w:rPr>
              <w:t xml:space="preserve"> pacjentom z ciężkimi zaburzeniami czynności nerek. niewydolność nerek</w:t>
            </w:r>
          </w:p>
        </w:tc>
      </w:tr>
      <w:tr w:rsidR="005C3D64" w:rsidRPr="00084890" w14:paraId="70F6F261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B65AA4D" w14:textId="77777777" w:rsidR="005C3D64" w:rsidRPr="00DB1A11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lastRenderedPageBreak/>
              <w:t>Czynniki ryzyka i grupy ryzyka</w:t>
            </w:r>
          </w:p>
          <w:p w14:paraId="464332B3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1AFCD7FE" w14:textId="22BF6846" w:rsidR="005C3D64" w:rsidRPr="00F976D4" w:rsidRDefault="00EA08CC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Pochodzenie </w:t>
            </w:r>
            <w:r w:rsidRPr="00EA08CC">
              <w:rPr>
                <w:rFonts w:cs="Verdana"/>
                <w:lang w:val="pl-PL" w:eastAsia="en-GB"/>
              </w:rPr>
              <w:t>Afroameryka</w:t>
            </w:r>
            <w:r>
              <w:rPr>
                <w:rFonts w:cs="Verdana"/>
                <w:lang w:val="pl-PL" w:eastAsia="en-GB"/>
              </w:rPr>
              <w:t>ńskie</w:t>
            </w:r>
            <w:r w:rsidRPr="00EA08CC">
              <w:rPr>
                <w:rFonts w:cs="Verdana"/>
                <w:lang w:val="pl-PL" w:eastAsia="en-GB"/>
              </w:rPr>
              <w:t xml:space="preserve">, starszy wiek, niska waga urodzeniowa i rodzinna historia chorób nerek są uważane za silne czynniki ryzyka przewlekłej choroby nerek. Ponadto palenie, otyłość, nadciśnienie i cukrzyca mogą również prowadzić do chorób nerek. </w:t>
            </w:r>
            <w:r>
              <w:rPr>
                <w:rFonts w:cs="Verdana"/>
                <w:lang w:val="pl-PL" w:eastAsia="en-GB"/>
              </w:rPr>
              <w:t>P</w:t>
            </w:r>
            <w:r w:rsidRPr="00EA08CC">
              <w:rPr>
                <w:rFonts w:cs="Verdana"/>
                <w:lang w:val="pl-PL" w:eastAsia="en-GB"/>
              </w:rPr>
              <w:t>acjent z</w:t>
            </w:r>
            <w:r>
              <w:rPr>
                <w:rFonts w:cs="Verdana"/>
                <w:lang w:val="pl-PL" w:eastAsia="en-GB"/>
              </w:rPr>
              <w:t xml:space="preserve"> niekontrolowaną</w:t>
            </w:r>
            <w:r w:rsidRPr="00EA08CC">
              <w:rPr>
                <w:rFonts w:cs="Verdana"/>
                <w:lang w:val="pl-PL" w:eastAsia="en-GB"/>
              </w:rPr>
              <w:t xml:space="preserve"> cukrzycą i / lub nadciśnieniem tętniczym może łatwo i szybko przejść do końcowego stadium choroby nerek. Ryzyko stanowi również ekspozycja na metale ciężkie, nadmierne spożycie alkoholu, palenie tytoniu oraz stosowanie leków przeciwbólowych</w:t>
            </w:r>
          </w:p>
        </w:tc>
      </w:tr>
      <w:tr w:rsidR="005C3D64" w:rsidRPr="00084890" w14:paraId="3EF8AD16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CBD5B8A" w14:textId="77777777" w:rsidR="005C3D64" w:rsidRPr="00BB1F06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66DBCDDD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19757ED7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>:</w:t>
            </w:r>
          </w:p>
          <w:p w14:paraId="4B8FB2A1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Wymienione w sekcji 4.4 </w:t>
            </w:r>
            <w:r w:rsidRPr="003C19F6">
              <w:rPr>
                <w:rFonts w:cs="Verdana"/>
                <w:bCs/>
                <w:lang w:val="pl-PL" w:eastAsia="en-GB"/>
              </w:rPr>
              <w:t>Specjalne ostrzeżenia i środki ostrożności dotyczące stosowania</w:t>
            </w:r>
          </w:p>
          <w:p w14:paraId="62C4B0FD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2EC6C655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2 Informacje ważne przed </w:t>
            </w:r>
            <w:r>
              <w:rPr>
                <w:rFonts w:cs="Verdana"/>
                <w:bCs/>
                <w:lang w:val="pl-PL" w:eastAsia="en-GB"/>
              </w:rPr>
              <w:t xml:space="preserve">zastosowaniem </w:t>
            </w:r>
            <w:r w:rsidRPr="00F35E34">
              <w:rPr>
                <w:rFonts w:cs="Verdana"/>
                <w:bCs/>
                <w:lang w:val="pl-PL" w:eastAsia="en-GB"/>
              </w:rPr>
              <w:t>leku</w:t>
            </w:r>
          </w:p>
          <w:p w14:paraId="1AB37E5A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73030381" w14:textId="51BBB3A7" w:rsidR="00EA08CC" w:rsidRPr="008B0395" w:rsidRDefault="000D177A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Ostrożność stosowania produktu u pacjentów z ciężką niewydolnością nerek </w:t>
            </w:r>
            <w:r w:rsidR="00EA08CC">
              <w:rPr>
                <w:rFonts w:cs="Verdana"/>
                <w:bCs/>
                <w:lang w:val="pl-PL" w:eastAsia="en-GB"/>
              </w:rPr>
              <w:t xml:space="preserve">jest wymieniona w </w:t>
            </w:r>
            <w:r w:rsidR="00EA08CC" w:rsidRPr="008B0395">
              <w:rPr>
                <w:rFonts w:cs="Verdana"/>
                <w:bCs/>
                <w:lang w:val="pl-PL" w:eastAsia="en-GB"/>
              </w:rPr>
              <w:t xml:space="preserve"> </w:t>
            </w:r>
            <w:proofErr w:type="spellStart"/>
            <w:r w:rsidR="00EA08CC" w:rsidRPr="008B0395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="00EA08CC" w:rsidRPr="008B0395">
              <w:rPr>
                <w:rFonts w:cs="Verdana"/>
                <w:bCs/>
                <w:lang w:val="pl-PL" w:eastAsia="en-GB"/>
              </w:rPr>
              <w:t xml:space="preserve"> w sekcj</w:t>
            </w:r>
            <w:r w:rsidR="00EA08CC">
              <w:rPr>
                <w:rFonts w:cs="Verdana"/>
                <w:bCs/>
                <w:lang w:val="pl-PL" w:eastAsia="en-GB"/>
              </w:rPr>
              <w:t>i</w:t>
            </w:r>
            <w:r w:rsidR="00EA08CC" w:rsidRPr="008B0395">
              <w:rPr>
                <w:rFonts w:cs="Verdana"/>
                <w:bCs/>
                <w:lang w:val="pl-PL" w:eastAsia="en-GB"/>
              </w:rPr>
              <w:t xml:space="preserve"> 4.</w:t>
            </w:r>
            <w:r w:rsidR="00EA08CC">
              <w:rPr>
                <w:rFonts w:cs="Verdana"/>
                <w:bCs/>
                <w:lang w:val="pl-PL" w:eastAsia="en-GB"/>
              </w:rPr>
              <w:t xml:space="preserve">4 </w:t>
            </w:r>
            <w:r w:rsidR="00EA08CC" w:rsidRPr="008B0395">
              <w:rPr>
                <w:rFonts w:cs="Verdana"/>
                <w:bCs/>
                <w:lang w:val="pl-PL" w:eastAsia="en-GB"/>
              </w:rPr>
              <w:t>i Ulotce w sekcji 2</w:t>
            </w:r>
          </w:p>
          <w:p w14:paraId="55AA70A3" w14:textId="77777777" w:rsidR="00EA08CC" w:rsidRDefault="00EA08CC" w:rsidP="00EA08CC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06AFF1F6" w14:textId="77777777" w:rsidR="00EA08CC" w:rsidRPr="008B0395" w:rsidRDefault="00EA08CC" w:rsidP="00EA08CC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26E22E8E" w14:textId="77777777" w:rsidR="00EA08CC" w:rsidRPr="00395064" w:rsidRDefault="00EA08CC" w:rsidP="00EA08CC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79E77176" w14:textId="4E20BC4D" w:rsidR="005C3D64" w:rsidRPr="00F976D4" w:rsidRDefault="00EA08CC" w:rsidP="00EA08CC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4FED4C0E" w14:textId="5D8BA315" w:rsidR="005C3D64" w:rsidRDefault="005C3D64" w:rsidP="005C3D64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C3D64" w:rsidRPr="00293178" w14:paraId="6E67A6BE" w14:textId="77777777" w:rsidTr="003A1697">
        <w:trPr>
          <w:trHeight w:val="629"/>
        </w:trPr>
        <w:tc>
          <w:tcPr>
            <w:tcW w:w="9356" w:type="dxa"/>
            <w:gridSpan w:val="2"/>
          </w:tcPr>
          <w:p w14:paraId="6514EA26" w14:textId="3A52FEB4" w:rsidR="005C3D64" w:rsidRPr="008432F0" w:rsidRDefault="005C3D64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 w:rsidRPr="00990638">
              <w:rPr>
                <w:sz w:val="20"/>
                <w:szCs w:val="20"/>
              </w:rPr>
              <w:t>Istotne</w:t>
            </w:r>
            <w:r w:rsidR="008432F0">
              <w:rPr>
                <w:sz w:val="20"/>
                <w:szCs w:val="20"/>
                <w:lang w:val="pl-PL"/>
              </w:rPr>
              <w:t xml:space="preserve"> </w:t>
            </w:r>
            <w:r w:rsidRPr="00990638">
              <w:rPr>
                <w:sz w:val="20"/>
                <w:szCs w:val="20"/>
              </w:rPr>
              <w:t>potencjalne ryzyko</w:t>
            </w:r>
            <w:r w:rsidR="008432F0">
              <w:rPr>
                <w:sz w:val="20"/>
                <w:szCs w:val="20"/>
                <w:lang w:val="pl-PL"/>
              </w:rPr>
              <w:t xml:space="preserve">: </w:t>
            </w:r>
            <w:r w:rsidR="009F71FC" w:rsidRPr="009F71FC">
              <w:rPr>
                <w:sz w:val="20"/>
                <w:szCs w:val="20"/>
                <w:lang w:val="pl-PL"/>
              </w:rPr>
              <w:t>Zaburzenia sercowo-naczyniowe: kołatanie serca, tachykardia, niedociśnienie</w:t>
            </w:r>
          </w:p>
        </w:tc>
      </w:tr>
      <w:tr w:rsidR="005C3D64" w:rsidRPr="00B00A7E" w14:paraId="30BABB9F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1974B94B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 xml:space="preserve">Dowody wskazujące na istnienie </w:t>
            </w:r>
            <w:r w:rsidRPr="00DB1A11">
              <w:rPr>
                <w:rFonts w:cs="Verdana"/>
                <w:lang w:val="pl-PL" w:eastAsia="en-GB"/>
              </w:rPr>
              <w:t xml:space="preserve">związku </w:t>
            </w:r>
            <w:proofErr w:type="spellStart"/>
            <w:r w:rsidRPr="00DB1A11">
              <w:rPr>
                <w:rFonts w:cs="Verdana"/>
                <w:lang w:val="pl-PL" w:eastAsia="en-GB"/>
              </w:rPr>
              <w:t>przyczynowo-skutkowego</w:t>
            </w:r>
            <w:proofErr w:type="spellEnd"/>
            <w:r w:rsidRPr="00DB1A11">
              <w:rPr>
                <w:rFonts w:cs="Verdana"/>
                <w:lang w:val="pl-PL" w:eastAsia="en-GB"/>
              </w:rPr>
              <w:t xml:space="preserve"> między stosowaniem leku a istnieniem danego zagrożenia</w:t>
            </w:r>
          </w:p>
        </w:tc>
        <w:tc>
          <w:tcPr>
            <w:tcW w:w="6804" w:type="dxa"/>
            <w:shd w:val="clear" w:color="C0C0C0" w:fill="FFFFFF"/>
          </w:tcPr>
          <w:p w14:paraId="1383192E" w14:textId="77777777" w:rsidR="009817EC" w:rsidRDefault="009817EC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9817EC">
              <w:rPr>
                <w:rFonts w:cs="Verdana"/>
                <w:lang w:val="pl-PL" w:eastAsia="en-GB"/>
              </w:rPr>
              <w:t xml:space="preserve">W badaniach klinicznych </w:t>
            </w:r>
            <w:proofErr w:type="spellStart"/>
            <w:r w:rsidRPr="009817EC">
              <w:rPr>
                <w:rFonts w:cs="Verdana"/>
                <w:lang w:val="pl-PL" w:eastAsia="en-GB"/>
              </w:rPr>
              <w:t>lewodropropizyna</w:t>
            </w:r>
            <w:proofErr w:type="spellEnd"/>
            <w:r w:rsidRPr="009817EC">
              <w:rPr>
                <w:rFonts w:cs="Verdana"/>
                <w:lang w:val="pl-PL" w:eastAsia="en-GB"/>
              </w:rPr>
              <w:t xml:space="preserve"> nie wpływała niekorzystnie na ciśnienie krwi, częstość akcji serca i wyniki badań laboratoryjnych. </w:t>
            </w:r>
            <w:proofErr w:type="spellStart"/>
            <w:r w:rsidRPr="009817EC">
              <w:rPr>
                <w:rFonts w:cs="Verdana"/>
                <w:lang w:val="pl-PL" w:eastAsia="en-GB"/>
              </w:rPr>
              <w:t>Lewodropropizyna</w:t>
            </w:r>
            <w:proofErr w:type="spellEnd"/>
            <w:r w:rsidRPr="009817EC">
              <w:rPr>
                <w:rFonts w:cs="Verdana"/>
                <w:lang w:val="pl-PL" w:eastAsia="en-GB"/>
              </w:rPr>
              <w:t xml:space="preserve"> podawana dożylnie lub dootrzewnowo nie wywierała istotnego wpływu na układ sercowo-naczyniowy i oddechowy. </w:t>
            </w:r>
          </w:p>
          <w:p w14:paraId="2DF525E0" w14:textId="32CCCED3" w:rsidR="005C3D64" w:rsidRPr="00F976D4" w:rsidRDefault="009817EC" w:rsidP="003A1697">
            <w:pPr>
              <w:pStyle w:val="BodytextAgency"/>
              <w:jc w:val="both"/>
              <w:rPr>
                <w:rFonts w:ascii="Courier New" w:eastAsia="MS Mincho" w:hAnsi="Courier New" w:cs="Verdana"/>
                <w:i/>
                <w:color w:val="339966"/>
                <w:sz w:val="22"/>
                <w:lang w:val="pl-PL" w:eastAsia="ja-JP"/>
              </w:rPr>
            </w:pPr>
            <w:r w:rsidRPr="009817EC">
              <w:rPr>
                <w:rFonts w:cs="Verdana"/>
                <w:lang w:val="pl-PL" w:eastAsia="en-GB"/>
              </w:rPr>
              <w:t xml:space="preserve">Dane dotyczące wiązania </w:t>
            </w:r>
            <w:r w:rsidR="00540659">
              <w:rPr>
                <w:rFonts w:cs="Verdana"/>
                <w:lang w:val="pl-PL" w:eastAsia="en-GB"/>
              </w:rPr>
              <w:t>z receptorami</w:t>
            </w:r>
            <w:r w:rsidRPr="009817EC">
              <w:rPr>
                <w:rFonts w:cs="Verdana"/>
                <w:lang w:val="pl-PL" w:eastAsia="en-GB"/>
              </w:rPr>
              <w:t xml:space="preserve"> wykluczają interakcję z receptorami beta-adrenergicznymi, muskarynowymi i opioidowymi. </w:t>
            </w:r>
            <w:r w:rsidRPr="009817EC">
              <w:rPr>
                <w:rFonts w:cs="Verdana"/>
                <w:lang w:val="pl-PL" w:eastAsia="en-GB"/>
              </w:rPr>
              <w:lastRenderedPageBreak/>
              <w:t>Zgłoszono jednak przypadki kołatania serca, tachykardii, niedociśnienia, a także jeden przypadek arytmii serca (</w:t>
            </w:r>
            <w:proofErr w:type="spellStart"/>
            <w:r w:rsidRPr="009817EC">
              <w:rPr>
                <w:rFonts w:cs="Verdana"/>
                <w:lang w:val="pl-PL" w:eastAsia="en-GB"/>
              </w:rPr>
              <w:t>bigeminizm</w:t>
            </w:r>
            <w:proofErr w:type="spellEnd"/>
            <w:r w:rsidRPr="009817EC">
              <w:rPr>
                <w:rFonts w:cs="Verdana"/>
                <w:lang w:val="pl-PL" w:eastAsia="en-GB"/>
              </w:rPr>
              <w:t xml:space="preserve"> przedsionkowy).</w:t>
            </w:r>
          </w:p>
        </w:tc>
      </w:tr>
      <w:tr w:rsidR="005C3D64" w:rsidRPr="00084890" w14:paraId="1E8E4317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06BC93EA" w14:textId="77777777" w:rsidR="005C3D64" w:rsidRPr="00DB1A11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B1A11">
              <w:rPr>
                <w:rFonts w:cs="Verdana"/>
                <w:lang w:val="pl-PL" w:eastAsia="en-GB"/>
              </w:rPr>
              <w:lastRenderedPageBreak/>
              <w:t>Czynniki ryzyka i grupy ryzyka</w:t>
            </w:r>
          </w:p>
          <w:p w14:paraId="0B83209F" w14:textId="77777777" w:rsidR="005C3D64" w:rsidRPr="00F976D4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</w:p>
        </w:tc>
        <w:tc>
          <w:tcPr>
            <w:tcW w:w="6804" w:type="dxa"/>
            <w:shd w:val="clear" w:color="C0C0C0" w:fill="FFFFFF"/>
          </w:tcPr>
          <w:p w14:paraId="6C96BE48" w14:textId="77777777" w:rsidR="005C3D64" w:rsidRDefault="007A05E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>
              <w:rPr>
                <w:rFonts w:cs="Verdana"/>
                <w:lang w:val="pl-PL" w:eastAsia="en-GB"/>
              </w:rPr>
              <w:t>S</w:t>
            </w:r>
            <w:r w:rsidR="00972448" w:rsidRPr="00972448">
              <w:rPr>
                <w:rFonts w:cs="Verdana"/>
                <w:lang w:val="pl-PL" w:eastAsia="en-GB"/>
              </w:rPr>
              <w:t xml:space="preserve">tarsi pacjenci i mężczyźni częściej mają arytmiczne przyczyny kołatania serca, a </w:t>
            </w:r>
            <w:r>
              <w:rPr>
                <w:rFonts w:cs="Verdana"/>
                <w:lang w:val="pl-PL" w:eastAsia="en-GB"/>
              </w:rPr>
              <w:t xml:space="preserve">u </w:t>
            </w:r>
            <w:r w:rsidR="00972448" w:rsidRPr="00972448">
              <w:rPr>
                <w:rFonts w:cs="Verdana"/>
                <w:lang w:val="pl-PL" w:eastAsia="en-GB"/>
              </w:rPr>
              <w:t>młods</w:t>
            </w:r>
            <w:r>
              <w:rPr>
                <w:rFonts w:cs="Verdana"/>
                <w:lang w:val="pl-PL" w:eastAsia="en-GB"/>
              </w:rPr>
              <w:t>zych</w:t>
            </w:r>
            <w:r w:rsidR="00972448" w:rsidRPr="00972448">
              <w:rPr>
                <w:rFonts w:cs="Verdana"/>
                <w:lang w:val="pl-PL" w:eastAsia="en-GB"/>
              </w:rPr>
              <w:t xml:space="preserve"> </w:t>
            </w:r>
            <w:proofErr w:type="spellStart"/>
            <w:r w:rsidR="00972448" w:rsidRPr="00972448">
              <w:rPr>
                <w:rFonts w:cs="Verdana"/>
                <w:lang w:val="pl-PL" w:eastAsia="en-GB"/>
              </w:rPr>
              <w:t>pacjenc</w:t>
            </w:r>
            <w:r>
              <w:rPr>
                <w:rFonts w:cs="Verdana"/>
                <w:lang w:val="pl-PL" w:eastAsia="en-GB"/>
              </w:rPr>
              <w:t>tów</w:t>
            </w:r>
            <w:proofErr w:type="spellEnd"/>
            <w:r w:rsidR="00972448" w:rsidRPr="00972448">
              <w:rPr>
                <w:rFonts w:cs="Verdana"/>
                <w:lang w:val="pl-PL" w:eastAsia="en-GB"/>
              </w:rPr>
              <w:t xml:space="preserve"> i kobiet</w:t>
            </w:r>
            <w:r>
              <w:rPr>
                <w:rFonts w:cs="Verdana"/>
                <w:lang w:val="pl-PL" w:eastAsia="en-GB"/>
              </w:rPr>
              <w:t xml:space="preserve"> </w:t>
            </w:r>
            <w:r w:rsidR="00F22B60">
              <w:rPr>
                <w:rFonts w:cs="Verdana"/>
                <w:lang w:val="pl-PL" w:eastAsia="en-GB"/>
              </w:rPr>
              <w:t>główna</w:t>
            </w:r>
            <w:r w:rsidR="00972448" w:rsidRPr="00972448">
              <w:rPr>
                <w:rFonts w:cs="Verdana"/>
                <w:lang w:val="pl-PL" w:eastAsia="en-GB"/>
              </w:rPr>
              <w:t xml:space="preserve"> przyczyn</w:t>
            </w:r>
            <w:r w:rsidR="00F22B60">
              <w:rPr>
                <w:rFonts w:cs="Verdana"/>
                <w:lang w:val="pl-PL" w:eastAsia="en-GB"/>
              </w:rPr>
              <w:t xml:space="preserve">a jest </w:t>
            </w:r>
            <w:r w:rsidR="00972448" w:rsidRPr="00972448">
              <w:rPr>
                <w:rFonts w:cs="Verdana"/>
                <w:lang w:val="pl-PL" w:eastAsia="en-GB"/>
              </w:rPr>
              <w:t xml:space="preserve"> psychosomatyczn</w:t>
            </w:r>
            <w:r w:rsidR="00F22B60">
              <w:rPr>
                <w:rFonts w:cs="Verdana"/>
                <w:lang w:val="pl-PL" w:eastAsia="en-GB"/>
              </w:rPr>
              <w:t xml:space="preserve">a. </w:t>
            </w:r>
          </w:p>
          <w:p w14:paraId="777460C0" w14:textId="0784D87C" w:rsidR="004720B6" w:rsidRDefault="004720B6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4720B6">
              <w:rPr>
                <w:rFonts w:cs="Verdana"/>
                <w:lang w:val="pl-PL" w:eastAsia="en-GB"/>
              </w:rPr>
              <w:t>Palenie, alkohol i kofeina są uważane za potencjalne czynniki p</w:t>
            </w:r>
            <w:r w:rsidR="00DC2C8D">
              <w:rPr>
                <w:rFonts w:cs="Verdana"/>
                <w:lang w:val="pl-PL" w:eastAsia="en-GB"/>
              </w:rPr>
              <w:t>rzyspieszające</w:t>
            </w:r>
            <w:r w:rsidRPr="004720B6">
              <w:rPr>
                <w:rFonts w:cs="Verdana"/>
                <w:lang w:val="pl-PL" w:eastAsia="en-GB"/>
              </w:rPr>
              <w:t xml:space="preserve"> przedwczesne pobudzenia przedsionkowe. Jednoczesne stosowanie agonistów receptorów beta 2 (np. </w:t>
            </w:r>
            <w:proofErr w:type="spellStart"/>
            <w:r>
              <w:rPr>
                <w:rFonts w:cs="Verdana"/>
                <w:lang w:val="pl-PL" w:eastAsia="en-GB"/>
              </w:rPr>
              <w:t>s</w:t>
            </w:r>
            <w:r w:rsidRPr="004720B6">
              <w:rPr>
                <w:rFonts w:cs="Verdana"/>
                <w:lang w:val="pl-PL" w:eastAsia="en-GB"/>
              </w:rPr>
              <w:t>albutamolu</w:t>
            </w:r>
            <w:proofErr w:type="spellEnd"/>
            <w:r w:rsidRPr="004720B6">
              <w:rPr>
                <w:rFonts w:cs="Verdana"/>
                <w:lang w:val="pl-PL" w:eastAsia="en-GB"/>
              </w:rPr>
              <w:t xml:space="preserve">) lub innych leków rozszerzających oskrzela (np. </w:t>
            </w:r>
            <w:r>
              <w:rPr>
                <w:rFonts w:cs="Verdana"/>
                <w:lang w:val="pl-PL" w:eastAsia="en-GB"/>
              </w:rPr>
              <w:t>l</w:t>
            </w:r>
            <w:r w:rsidRPr="004720B6">
              <w:rPr>
                <w:rFonts w:cs="Verdana"/>
                <w:lang w:val="pl-PL" w:eastAsia="en-GB"/>
              </w:rPr>
              <w:t xml:space="preserve">eków </w:t>
            </w:r>
            <w:proofErr w:type="spellStart"/>
            <w:r w:rsidRPr="004720B6">
              <w:rPr>
                <w:rFonts w:cs="Verdana"/>
                <w:lang w:val="pl-PL" w:eastAsia="en-GB"/>
              </w:rPr>
              <w:t>przeciwcholinergicznych</w:t>
            </w:r>
            <w:proofErr w:type="spellEnd"/>
            <w:r w:rsidRPr="004720B6">
              <w:rPr>
                <w:rFonts w:cs="Verdana"/>
                <w:lang w:val="pl-PL" w:eastAsia="en-GB"/>
              </w:rPr>
              <w:t>, ksantyn, takich jak teofilina) w celu opanowania innych objawów ze strony układu oddechowego może często powodować działania niepożądane, w tym tachykardię i arytmie.</w:t>
            </w:r>
            <w:r w:rsidR="00DC2C8D">
              <w:rPr>
                <w:rFonts w:cs="Verdana"/>
                <w:lang w:val="pl-PL" w:eastAsia="en-GB"/>
              </w:rPr>
              <w:t xml:space="preserve"> </w:t>
            </w:r>
          </w:p>
          <w:p w14:paraId="78251017" w14:textId="77777777" w:rsidR="00DC2C8D" w:rsidRDefault="00DC2C8D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DC2C8D">
              <w:rPr>
                <w:rFonts w:cs="Verdana"/>
                <w:lang w:val="pl-PL" w:eastAsia="en-GB"/>
              </w:rPr>
              <w:t xml:space="preserve">Pacjenci z ostrym zawałem mięśnia sercowego, zwężeniem zastawki mitralnej, </w:t>
            </w:r>
            <w:proofErr w:type="spellStart"/>
            <w:r w:rsidRPr="00DC2C8D">
              <w:rPr>
                <w:rFonts w:cs="Verdana"/>
                <w:lang w:val="pl-PL" w:eastAsia="en-GB"/>
              </w:rPr>
              <w:t>kardiomiopatią</w:t>
            </w:r>
            <w:proofErr w:type="spellEnd"/>
            <w:r w:rsidRPr="00DC2C8D">
              <w:rPr>
                <w:rFonts w:cs="Verdana"/>
                <w:lang w:val="pl-PL" w:eastAsia="en-GB"/>
              </w:rPr>
              <w:t xml:space="preserve"> przerostową i stanem powodującym podwyższenie ciśnienia lub poszerzenie prawego lub lewego przedsionka, w tym </w:t>
            </w:r>
            <w:proofErr w:type="spellStart"/>
            <w:r w:rsidRPr="00DC2C8D">
              <w:rPr>
                <w:rFonts w:cs="Verdana"/>
                <w:lang w:val="pl-PL" w:eastAsia="en-GB"/>
              </w:rPr>
              <w:t>kardiomiopatię</w:t>
            </w:r>
            <w:proofErr w:type="spellEnd"/>
            <w:r w:rsidRPr="00DC2C8D">
              <w:rPr>
                <w:rFonts w:cs="Verdana"/>
                <w:lang w:val="pl-PL" w:eastAsia="en-GB"/>
              </w:rPr>
              <w:t xml:space="preserve"> i wadę zastawkową serca, są bardziej predysponowani do wystąpienia różnych arytmii, w tym migotania przedsionków i </w:t>
            </w:r>
            <w:r>
              <w:rPr>
                <w:rFonts w:cs="Verdana"/>
                <w:lang w:val="pl-PL" w:eastAsia="en-GB"/>
              </w:rPr>
              <w:t>przed</w:t>
            </w:r>
            <w:r w:rsidRPr="00DC2C8D">
              <w:rPr>
                <w:rFonts w:cs="Verdana"/>
                <w:lang w:val="pl-PL" w:eastAsia="en-GB"/>
              </w:rPr>
              <w:t>w</w:t>
            </w:r>
            <w:r>
              <w:rPr>
                <w:rFonts w:cs="Verdana"/>
                <w:lang w:val="pl-PL" w:eastAsia="en-GB"/>
              </w:rPr>
              <w:t>czesnego po</w:t>
            </w:r>
            <w:r w:rsidR="00F9474E">
              <w:rPr>
                <w:rFonts w:cs="Verdana"/>
                <w:lang w:val="pl-PL" w:eastAsia="en-GB"/>
              </w:rPr>
              <w:t>budzenia przedsionków.</w:t>
            </w:r>
          </w:p>
          <w:p w14:paraId="40873879" w14:textId="289E416E" w:rsidR="00F9474E" w:rsidRPr="00F976D4" w:rsidRDefault="001159C9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1159C9">
              <w:rPr>
                <w:rFonts w:cs="Verdana"/>
                <w:lang w:val="pl-PL" w:eastAsia="en-GB"/>
              </w:rPr>
              <w:t xml:space="preserve">Pacjenci przyjmujący leki </w:t>
            </w:r>
            <w:proofErr w:type="spellStart"/>
            <w:r w:rsidRPr="001159C9">
              <w:rPr>
                <w:rFonts w:cs="Verdana"/>
                <w:lang w:val="pl-PL" w:eastAsia="en-GB"/>
              </w:rPr>
              <w:t>przeciwnadciśnieniowe</w:t>
            </w:r>
            <w:proofErr w:type="spellEnd"/>
            <w:r w:rsidRPr="001159C9">
              <w:rPr>
                <w:rFonts w:cs="Verdana"/>
                <w:lang w:val="pl-PL" w:eastAsia="en-GB"/>
              </w:rPr>
              <w:t xml:space="preserve">, </w:t>
            </w:r>
            <w:proofErr w:type="spellStart"/>
            <w:r w:rsidRPr="001159C9">
              <w:rPr>
                <w:rFonts w:cs="Verdana"/>
                <w:lang w:val="pl-PL" w:eastAsia="en-GB"/>
              </w:rPr>
              <w:t>diuretyki</w:t>
            </w:r>
            <w:proofErr w:type="spellEnd"/>
            <w:r w:rsidRPr="001159C9">
              <w:rPr>
                <w:rFonts w:cs="Verdana"/>
                <w:lang w:val="pl-PL" w:eastAsia="en-GB"/>
              </w:rPr>
              <w:t xml:space="preserve"> lub leki rozszerzające naczynia oraz chorzy ze stanami powodującymi hipowolemię, takimi jak utrata krwi lub płynów, są bardziej podatni na niedociśnienie. Inne czynniki ryzyka niedociśnienia to długotrwały odpoczynek w łóżku, alkohol i leki wpływające na odruchową kontrolę ciśnienia krwi, w tym leki przeciwdepresyjne, </w:t>
            </w:r>
            <w:proofErr w:type="spellStart"/>
            <w:r w:rsidRPr="001159C9">
              <w:rPr>
                <w:rFonts w:cs="Verdana"/>
                <w:lang w:val="pl-PL" w:eastAsia="en-GB"/>
              </w:rPr>
              <w:t>fenotiazynowe</w:t>
            </w:r>
            <w:proofErr w:type="spellEnd"/>
            <w:r w:rsidRPr="001159C9">
              <w:rPr>
                <w:rFonts w:cs="Verdana"/>
                <w:lang w:val="pl-PL" w:eastAsia="en-GB"/>
              </w:rPr>
              <w:t xml:space="preserve"> leki </w:t>
            </w:r>
            <w:proofErr w:type="spellStart"/>
            <w:r w:rsidRPr="001159C9">
              <w:rPr>
                <w:rFonts w:cs="Verdana"/>
                <w:lang w:val="pl-PL" w:eastAsia="en-GB"/>
              </w:rPr>
              <w:t>przeciwpsychotyczne</w:t>
            </w:r>
            <w:proofErr w:type="spellEnd"/>
            <w:r w:rsidRPr="001159C9">
              <w:rPr>
                <w:rFonts w:cs="Verdana"/>
                <w:lang w:val="pl-PL" w:eastAsia="en-GB"/>
              </w:rPr>
              <w:t xml:space="preserve">, </w:t>
            </w:r>
            <w:proofErr w:type="spellStart"/>
            <w:r w:rsidRPr="001159C9">
              <w:rPr>
                <w:rFonts w:cs="Verdana"/>
                <w:lang w:val="pl-PL" w:eastAsia="en-GB"/>
              </w:rPr>
              <w:t>lewodopa</w:t>
            </w:r>
            <w:proofErr w:type="spellEnd"/>
            <w:r w:rsidRPr="001159C9">
              <w:rPr>
                <w:rFonts w:cs="Verdana"/>
                <w:lang w:val="pl-PL" w:eastAsia="en-GB"/>
              </w:rPr>
              <w:t xml:space="preserve">, barbiturany i </w:t>
            </w:r>
            <w:proofErr w:type="spellStart"/>
            <w:r w:rsidRPr="001159C9">
              <w:rPr>
                <w:rFonts w:cs="Verdana"/>
                <w:lang w:val="pl-PL" w:eastAsia="en-GB"/>
              </w:rPr>
              <w:t>winkrystyna</w:t>
            </w:r>
            <w:proofErr w:type="spellEnd"/>
            <w:r w:rsidRPr="001159C9">
              <w:rPr>
                <w:rFonts w:cs="Verdana"/>
                <w:lang w:val="pl-PL" w:eastAsia="en-GB"/>
              </w:rPr>
              <w:t>.</w:t>
            </w:r>
          </w:p>
        </w:tc>
      </w:tr>
      <w:tr w:rsidR="005C3D64" w:rsidRPr="00084890" w14:paraId="76D15F49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52B0879F" w14:textId="77777777" w:rsidR="005C3D64" w:rsidRPr="00BB1F06" w:rsidRDefault="005C3D64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1B0ACA03" w14:textId="77777777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07F4A411" w14:textId="77777777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>:</w:t>
            </w:r>
          </w:p>
          <w:p w14:paraId="4F46E4E2" w14:textId="41FBB58D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 w:rsidR="002D61C6">
              <w:rPr>
                <w:rFonts w:cs="Verdana"/>
                <w:bCs/>
                <w:lang w:val="pl-PL" w:eastAsia="en-GB"/>
              </w:rPr>
              <w:t>8 Działania niepożądane</w:t>
            </w:r>
          </w:p>
          <w:p w14:paraId="6DC7A198" w14:textId="77777777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1E8F28DA" w14:textId="22C1A989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</w:t>
            </w:r>
            <w:r w:rsidR="002D61C6">
              <w:rPr>
                <w:rFonts w:cs="Verdana"/>
                <w:bCs/>
                <w:lang w:val="pl-PL" w:eastAsia="en-GB"/>
              </w:rPr>
              <w:t>4 Możliwe działania niepożądane</w:t>
            </w:r>
          </w:p>
          <w:p w14:paraId="751EE492" w14:textId="77777777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3D33A9C7" w14:textId="04A85BE4" w:rsidR="001159C9" w:rsidRPr="008B0395" w:rsidRDefault="00B306C1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Brak</w:t>
            </w:r>
          </w:p>
          <w:p w14:paraId="02051123" w14:textId="77777777" w:rsidR="001159C9" w:rsidRDefault="001159C9" w:rsidP="001159C9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176F1707" w14:textId="77777777" w:rsidR="001159C9" w:rsidRPr="008B0395" w:rsidRDefault="001159C9" w:rsidP="001159C9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1BD31A93" w14:textId="77777777" w:rsidR="001159C9" w:rsidRPr="00395064" w:rsidRDefault="001159C9" w:rsidP="001159C9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2DB794BA" w14:textId="0CAF3845" w:rsidR="005C3D64" w:rsidRPr="00F976D4" w:rsidRDefault="001159C9" w:rsidP="001159C9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lastRenderedPageBreak/>
              <w:t>Brak</w:t>
            </w:r>
          </w:p>
        </w:tc>
      </w:tr>
    </w:tbl>
    <w:p w14:paraId="6115E997" w14:textId="77777777" w:rsidR="009F71FC" w:rsidRDefault="009F71FC"/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B306C1" w:rsidRPr="00293178" w14:paraId="68E83571" w14:textId="77777777" w:rsidTr="003A1697">
        <w:trPr>
          <w:trHeight w:val="629"/>
        </w:trPr>
        <w:tc>
          <w:tcPr>
            <w:tcW w:w="9356" w:type="dxa"/>
            <w:gridSpan w:val="2"/>
          </w:tcPr>
          <w:p w14:paraId="522B79B0" w14:textId="61BCDF2C" w:rsidR="00B306C1" w:rsidRPr="008432F0" w:rsidRDefault="00505853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  <w:lang w:val="pl-PL"/>
              </w:rPr>
              <w:t>rakujące informacje</w:t>
            </w:r>
            <w:r w:rsidR="00B306C1">
              <w:rPr>
                <w:sz w:val="20"/>
                <w:szCs w:val="20"/>
                <w:lang w:val="pl-PL"/>
              </w:rPr>
              <w:t xml:space="preserve">: </w:t>
            </w:r>
            <w:r w:rsidR="00B306C1" w:rsidRPr="008432F0">
              <w:rPr>
                <w:sz w:val="20"/>
                <w:szCs w:val="20"/>
                <w:lang w:val="pl-PL"/>
              </w:rPr>
              <w:t>Stosowanie w czasie ciąży i karmienia piersią</w:t>
            </w:r>
          </w:p>
        </w:tc>
      </w:tr>
      <w:tr w:rsidR="00B306C1" w:rsidRPr="00084890" w14:paraId="14F655F5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327CD62B" w14:textId="77777777" w:rsidR="00B306C1" w:rsidRPr="00BB1F06" w:rsidRDefault="00B306C1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7A30F0CE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42931016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>:</w:t>
            </w:r>
          </w:p>
          <w:p w14:paraId="1EDD0292" w14:textId="5E7B6F32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 w:rsidR="00CC5723">
              <w:rPr>
                <w:rFonts w:cs="Verdana"/>
                <w:bCs/>
                <w:lang w:val="pl-PL" w:eastAsia="en-GB"/>
              </w:rPr>
              <w:t>3</w:t>
            </w:r>
            <w:r>
              <w:rPr>
                <w:rFonts w:cs="Verdana"/>
                <w:bCs/>
                <w:lang w:val="pl-PL" w:eastAsia="en-GB"/>
              </w:rPr>
              <w:t xml:space="preserve"> </w:t>
            </w:r>
            <w:r w:rsidR="00CC5723">
              <w:rPr>
                <w:rFonts w:cs="Verdana"/>
                <w:bCs/>
                <w:lang w:val="pl-PL" w:eastAsia="en-GB"/>
              </w:rPr>
              <w:t>Przeciwwskazania</w:t>
            </w:r>
          </w:p>
          <w:p w14:paraId="4065B0FF" w14:textId="7A4B340A" w:rsidR="00CC5723" w:rsidRDefault="00CC5723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>
              <w:rPr>
                <w:rFonts w:cs="Verdana"/>
                <w:bCs/>
                <w:lang w:val="pl-PL" w:eastAsia="en-GB"/>
              </w:rPr>
              <w:t>6</w:t>
            </w:r>
            <w:r w:rsidR="00372587">
              <w:rPr>
                <w:rFonts w:cs="Verdana"/>
                <w:bCs/>
                <w:lang w:val="pl-PL" w:eastAsia="en-GB"/>
              </w:rPr>
              <w:t xml:space="preserve"> </w:t>
            </w:r>
            <w:r w:rsidR="00372587" w:rsidRPr="00372587">
              <w:rPr>
                <w:rFonts w:cs="Verdana"/>
                <w:bCs/>
                <w:lang w:val="pl-PL" w:eastAsia="en-GB"/>
              </w:rPr>
              <w:t>Wpływ na płodność, ciążę i laktację</w:t>
            </w:r>
          </w:p>
          <w:p w14:paraId="1FB86811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007D2387" w14:textId="1D38A694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</w:t>
            </w:r>
            <w:r w:rsidR="00372587">
              <w:rPr>
                <w:rFonts w:cs="Verdana"/>
                <w:bCs/>
                <w:lang w:val="pl-PL" w:eastAsia="en-GB"/>
              </w:rPr>
              <w:t xml:space="preserve">2 </w:t>
            </w:r>
            <w:r w:rsidR="00372587" w:rsidRPr="00372587">
              <w:rPr>
                <w:rFonts w:cs="Verdana"/>
                <w:bCs/>
                <w:lang w:val="pl-PL" w:eastAsia="en-GB"/>
              </w:rPr>
              <w:t>Informacje ważne przed zastosowaniem leku</w:t>
            </w:r>
          </w:p>
          <w:p w14:paraId="5BC8B33B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3D90B953" w14:textId="0A2AFF87" w:rsidR="00B306C1" w:rsidRPr="008B0395" w:rsidRDefault="00505853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Rekomendacja by unikać podawania produktu w czasie ciąży i laktacji są zamieszczone w </w:t>
            </w:r>
            <w:proofErr w:type="spellStart"/>
            <w:r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>
              <w:rPr>
                <w:rFonts w:cs="Verdana"/>
                <w:bCs/>
                <w:lang w:val="pl-PL" w:eastAsia="en-GB"/>
              </w:rPr>
              <w:t xml:space="preserve"> w sekcjach 4.3 i 4.6 oraz Ulotce w sekcji 2.</w:t>
            </w:r>
          </w:p>
          <w:p w14:paraId="742270C1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684C8084" w14:textId="77777777" w:rsidR="00B306C1" w:rsidRPr="008B0395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59EB3114" w14:textId="77777777" w:rsidR="00B306C1" w:rsidRPr="00395064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2EC6A009" w14:textId="77777777" w:rsidR="00B306C1" w:rsidRPr="00F976D4" w:rsidRDefault="00B306C1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50FC3472" w14:textId="7674CEC1" w:rsidR="005C3D64" w:rsidRDefault="005C3D64" w:rsidP="005C3D64">
      <w:pPr>
        <w:pStyle w:val="BodytextAgency"/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B306C1" w:rsidRPr="00293178" w14:paraId="12EF31B5" w14:textId="77777777" w:rsidTr="003A1697">
        <w:trPr>
          <w:trHeight w:val="629"/>
        </w:trPr>
        <w:tc>
          <w:tcPr>
            <w:tcW w:w="9356" w:type="dxa"/>
            <w:gridSpan w:val="2"/>
          </w:tcPr>
          <w:p w14:paraId="494C65EE" w14:textId="45572AC3" w:rsidR="00B306C1" w:rsidRPr="008432F0" w:rsidRDefault="00505853" w:rsidP="003A1697">
            <w:pPr>
              <w:pStyle w:val="No-numheading5Agency"/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  <w:lang w:val="pl-PL"/>
              </w:rPr>
              <w:t>rakujące informacje</w:t>
            </w:r>
            <w:r w:rsidR="00B306C1">
              <w:rPr>
                <w:sz w:val="20"/>
                <w:szCs w:val="20"/>
                <w:lang w:val="pl-PL"/>
              </w:rPr>
              <w:t xml:space="preserve">: </w:t>
            </w:r>
            <w:r w:rsidR="00ED6566" w:rsidRPr="00ED6566">
              <w:rPr>
                <w:sz w:val="20"/>
                <w:szCs w:val="20"/>
                <w:lang w:val="pl-PL"/>
              </w:rPr>
              <w:t>Stosowanie u dzieci poniżej 24 miesiąca życia</w:t>
            </w:r>
          </w:p>
        </w:tc>
      </w:tr>
      <w:tr w:rsidR="00B306C1" w:rsidRPr="00084890" w14:paraId="0D94CCAA" w14:textId="77777777" w:rsidTr="003A16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552" w:type="dxa"/>
            <w:shd w:val="clear" w:color="C0C0C0" w:fill="FFFFFF"/>
          </w:tcPr>
          <w:p w14:paraId="4BE89AA8" w14:textId="77777777" w:rsidR="00B306C1" w:rsidRPr="00BB1F06" w:rsidRDefault="00B306C1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BB1F06">
              <w:rPr>
                <w:rFonts w:cs="Verdana"/>
                <w:lang w:val="pl-PL" w:eastAsia="en-GB"/>
              </w:rPr>
              <w:t>Środki minimalizacji ryzyka</w:t>
            </w:r>
          </w:p>
        </w:tc>
        <w:tc>
          <w:tcPr>
            <w:tcW w:w="6804" w:type="dxa"/>
            <w:shd w:val="clear" w:color="C0C0C0" w:fill="FFFFFF"/>
          </w:tcPr>
          <w:p w14:paraId="358204EF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BB1F06">
              <w:rPr>
                <w:rFonts w:cs="Verdana"/>
                <w:bCs/>
                <w:lang w:val="pl-PL" w:eastAsia="en-GB"/>
              </w:rPr>
              <w:t xml:space="preserve">Rutynowe środki minimalizacji ryzyka </w:t>
            </w:r>
          </w:p>
          <w:p w14:paraId="58041FDC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Ryzyko to jest wymienione w odpowiednich materiałach informacyjnych, takich jak Ch</w:t>
            </w:r>
            <w:r>
              <w:rPr>
                <w:rFonts w:cs="Verdana"/>
                <w:bCs/>
                <w:lang w:val="pl-PL" w:eastAsia="en-GB"/>
              </w:rPr>
              <w:t>arakterystyka produktu leczniczego i Ulotka dla pacjenta</w:t>
            </w:r>
            <w:r w:rsidRPr="00F35E34">
              <w:rPr>
                <w:rFonts w:cs="Verdana"/>
                <w:bCs/>
                <w:lang w:val="pl-PL" w:eastAsia="en-GB"/>
              </w:rPr>
              <w:t xml:space="preserve">. Działania mające na celu zminimalizowanie ryzyka opisane w odpowiednich punktach </w:t>
            </w:r>
            <w:proofErr w:type="spellStart"/>
            <w:r w:rsidRPr="00F35E34"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 w:rsidRPr="00F35E34">
              <w:rPr>
                <w:rFonts w:cs="Verdana"/>
                <w:bCs/>
                <w:lang w:val="pl-PL" w:eastAsia="en-GB"/>
              </w:rPr>
              <w:t>:</w:t>
            </w:r>
          </w:p>
          <w:p w14:paraId="12F0C09B" w14:textId="076EA199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Wymienione w sekcji 4.</w:t>
            </w:r>
            <w:r w:rsidR="00ED6566">
              <w:rPr>
                <w:rFonts w:cs="Verdana"/>
                <w:bCs/>
                <w:lang w:val="pl-PL" w:eastAsia="en-GB"/>
              </w:rPr>
              <w:t>2</w:t>
            </w:r>
            <w:r>
              <w:rPr>
                <w:rFonts w:cs="Verdana"/>
                <w:bCs/>
                <w:lang w:val="pl-PL" w:eastAsia="en-GB"/>
              </w:rPr>
              <w:t xml:space="preserve"> </w:t>
            </w:r>
            <w:r w:rsidR="002D1622" w:rsidRPr="002D1622">
              <w:rPr>
                <w:rFonts w:cs="Verdana"/>
                <w:bCs/>
                <w:lang w:val="pl-PL" w:eastAsia="en-GB"/>
              </w:rPr>
              <w:t>Dawkowanie i sposób podawania</w:t>
            </w:r>
            <w:r w:rsidR="002D1622" w:rsidRPr="002D1622">
              <w:rPr>
                <w:rFonts w:cs="Verdana"/>
                <w:bCs/>
                <w:lang w:val="pl-PL" w:eastAsia="en-GB"/>
              </w:rPr>
              <w:cr/>
            </w:r>
            <w:r w:rsidRPr="00F35E34">
              <w:rPr>
                <w:rFonts w:cs="Verdana"/>
                <w:bCs/>
                <w:lang w:val="pl-PL" w:eastAsia="en-GB"/>
              </w:rPr>
              <w:t xml:space="preserve">Działania mające na celu zminimalizowanie ryzyka opisane w odpowiednich punktach </w:t>
            </w:r>
            <w:r>
              <w:rPr>
                <w:rFonts w:cs="Verdana"/>
                <w:bCs/>
                <w:lang w:val="pl-PL" w:eastAsia="en-GB"/>
              </w:rPr>
              <w:t>Ulotki</w:t>
            </w:r>
            <w:r w:rsidRPr="00F35E34">
              <w:rPr>
                <w:rFonts w:cs="Verdana"/>
                <w:bCs/>
                <w:lang w:val="pl-PL" w:eastAsia="en-GB"/>
              </w:rPr>
              <w:t xml:space="preserve">: </w:t>
            </w:r>
          </w:p>
          <w:p w14:paraId="3919A82A" w14:textId="58E1D0A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 w:rsidRPr="00F35E34">
              <w:rPr>
                <w:rFonts w:cs="Verdana"/>
                <w:bCs/>
                <w:lang w:val="pl-PL" w:eastAsia="en-GB"/>
              </w:rPr>
              <w:t>wymienione w</w:t>
            </w:r>
            <w:r>
              <w:rPr>
                <w:rFonts w:cs="Verdana"/>
                <w:bCs/>
                <w:lang w:val="pl-PL" w:eastAsia="en-GB"/>
              </w:rPr>
              <w:t xml:space="preserve"> sekcji</w:t>
            </w:r>
            <w:r w:rsidRPr="00F35E34">
              <w:rPr>
                <w:rFonts w:cs="Verdana"/>
                <w:bCs/>
                <w:lang w:val="pl-PL" w:eastAsia="en-GB"/>
              </w:rPr>
              <w:t xml:space="preserve"> </w:t>
            </w:r>
            <w:r w:rsidR="002D1622" w:rsidRPr="002D1622">
              <w:rPr>
                <w:rFonts w:cs="Verdana"/>
                <w:bCs/>
                <w:lang w:val="pl-PL" w:eastAsia="en-GB"/>
              </w:rPr>
              <w:t>2 Informacje ważne przed zastosowaniem leku</w:t>
            </w:r>
          </w:p>
          <w:p w14:paraId="28553365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1C0DDA">
              <w:rPr>
                <w:rFonts w:cs="Verdana"/>
                <w:bCs/>
                <w:u w:val="single"/>
                <w:lang w:val="pl-PL" w:eastAsia="en-GB"/>
              </w:rPr>
              <w:t>Rutynowe działania mające na celu minimalizację ryzyka, zalecające określone środki kliniczne w celu przeciwdziałania ryzyku</w:t>
            </w:r>
          </w:p>
          <w:p w14:paraId="67A15EE3" w14:textId="73413910" w:rsidR="00B306C1" w:rsidRPr="008B0395" w:rsidRDefault="00BA4405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 xml:space="preserve">Produkt nie powinien być stosowany u dzieci poniżej 2 lat. Ta </w:t>
            </w:r>
            <w:r>
              <w:rPr>
                <w:rFonts w:cs="Verdana"/>
                <w:bCs/>
                <w:lang w:val="pl-PL" w:eastAsia="en-GB"/>
              </w:rPr>
              <w:lastRenderedPageBreak/>
              <w:t xml:space="preserve">rekomendacja zamieszczona jest w sekcji 4.2 </w:t>
            </w:r>
            <w:proofErr w:type="spellStart"/>
            <w:r>
              <w:rPr>
                <w:rFonts w:cs="Verdana"/>
                <w:bCs/>
                <w:lang w:val="pl-PL" w:eastAsia="en-GB"/>
              </w:rPr>
              <w:t>ChPL</w:t>
            </w:r>
            <w:proofErr w:type="spellEnd"/>
            <w:r>
              <w:rPr>
                <w:rFonts w:cs="Verdana"/>
                <w:bCs/>
                <w:lang w:val="pl-PL" w:eastAsia="en-GB"/>
              </w:rPr>
              <w:t xml:space="preserve"> i w sekcji 2 ulotki.</w:t>
            </w:r>
          </w:p>
          <w:p w14:paraId="34C22952" w14:textId="77777777" w:rsidR="00B306C1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8B0395">
              <w:rPr>
                <w:rFonts w:cs="Verdana"/>
                <w:bCs/>
                <w:u w:val="single"/>
                <w:lang w:val="pl-PL" w:eastAsia="en-GB"/>
              </w:rPr>
              <w:t>Inne rutynowe środki minimalizacji ryzyka wykraczające poza informacje o produkcie</w:t>
            </w:r>
          </w:p>
          <w:p w14:paraId="17B7F620" w14:textId="77777777" w:rsidR="00B306C1" w:rsidRPr="008B0395" w:rsidRDefault="00B306C1" w:rsidP="003A1697">
            <w:pPr>
              <w:pStyle w:val="BodytextAgency"/>
              <w:jc w:val="both"/>
              <w:rPr>
                <w:rFonts w:cs="Verdana"/>
                <w:bCs/>
                <w:lang w:val="pl-PL" w:eastAsia="en-GB"/>
              </w:rPr>
            </w:pPr>
            <w:r>
              <w:rPr>
                <w:rFonts w:cs="Verdana"/>
                <w:bCs/>
                <w:lang w:val="pl-PL" w:eastAsia="en-GB"/>
              </w:rPr>
              <w:t>Kategoria dostępności: produkt wydawany bez przepisu lekarza (OTC)</w:t>
            </w:r>
          </w:p>
          <w:p w14:paraId="0769DA1B" w14:textId="77777777" w:rsidR="00B306C1" w:rsidRPr="00395064" w:rsidRDefault="00B306C1" w:rsidP="003A1697">
            <w:pPr>
              <w:pStyle w:val="BodytextAgency"/>
              <w:jc w:val="both"/>
              <w:rPr>
                <w:rFonts w:cs="Verdana"/>
                <w:bCs/>
                <w:u w:val="single"/>
                <w:lang w:val="pl-PL" w:eastAsia="en-GB"/>
              </w:rPr>
            </w:pPr>
            <w:r w:rsidRPr="00395064">
              <w:rPr>
                <w:rFonts w:cs="Verdana"/>
                <w:bCs/>
                <w:u w:val="single"/>
                <w:lang w:val="pl-PL" w:eastAsia="en-GB"/>
              </w:rPr>
              <w:t>Dodatkowe środki minimalizacji ryzyka</w:t>
            </w:r>
          </w:p>
          <w:p w14:paraId="02E1054B" w14:textId="77777777" w:rsidR="00B306C1" w:rsidRPr="00F976D4" w:rsidRDefault="00B306C1" w:rsidP="003A1697">
            <w:pPr>
              <w:pStyle w:val="BodytextAgency"/>
              <w:jc w:val="both"/>
              <w:rPr>
                <w:rFonts w:cs="Verdana"/>
                <w:lang w:val="pl-PL" w:eastAsia="en-GB"/>
              </w:rPr>
            </w:pPr>
            <w:r w:rsidRPr="00395064">
              <w:rPr>
                <w:rFonts w:cs="Verdana"/>
                <w:bCs/>
                <w:lang w:val="pl-PL" w:eastAsia="en-GB"/>
              </w:rPr>
              <w:t>Brak</w:t>
            </w:r>
          </w:p>
        </w:tc>
      </w:tr>
    </w:tbl>
    <w:p w14:paraId="7A2CBE0B" w14:textId="2183969F" w:rsidR="005C3D64" w:rsidRDefault="005C3D64" w:rsidP="005C3D64">
      <w:pPr>
        <w:pStyle w:val="BodytextAgency"/>
      </w:pPr>
    </w:p>
    <w:p w14:paraId="528060FA" w14:textId="69AA8577" w:rsidR="008C75A2" w:rsidRPr="00DB1A11" w:rsidRDefault="00B05173" w:rsidP="00CC3992">
      <w:pPr>
        <w:pStyle w:val="Heading2Agency"/>
        <w:numPr>
          <w:ilvl w:val="0"/>
          <w:numId w:val="0"/>
        </w:numPr>
        <w:jc w:val="both"/>
        <w:rPr>
          <w:i w:val="0"/>
          <w:iCs/>
          <w:sz w:val="24"/>
          <w:szCs w:val="24"/>
          <w:lang w:val="pl-PL"/>
        </w:rPr>
      </w:pPr>
      <w:r w:rsidRPr="00DB1A11">
        <w:rPr>
          <w:i w:val="0"/>
          <w:iCs/>
          <w:sz w:val="24"/>
          <w:szCs w:val="24"/>
          <w:lang w:val="pl-PL"/>
        </w:rPr>
        <w:t xml:space="preserve">II.C </w:t>
      </w:r>
      <w:bookmarkEnd w:id="466"/>
      <w:r w:rsidR="00485C9F" w:rsidRPr="00DB1A11">
        <w:rPr>
          <w:i w:val="0"/>
          <w:iCs/>
          <w:sz w:val="24"/>
          <w:szCs w:val="24"/>
          <w:lang w:val="pl-PL"/>
        </w:rPr>
        <w:t>Plan przewidywanego rozwoju po dopuszczeniu produktu do obrotu</w:t>
      </w:r>
    </w:p>
    <w:p w14:paraId="22152D37" w14:textId="77777777" w:rsidR="00485C9F" w:rsidRPr="00E81404" w:rsidRDefault="00B05173" w:rsidP="00F67490">
      <w:pPr>
        <w:pStyle w:val="Heading3Agency"/>
        <w:numPr>
          <w:ilvl w:val="0"/>
          <w:numId w:val="0"/>
        </w:numPr>
        <w:jc w:val="both"/>
        <w:rPr>
          <w:lang w:val="pl-PL"/>
        </w:rPr>
      </w:pPr>
      <w:bookmarkStart w:id="467" w:name="_Toc444075118"/>
      <w:r w:rsidRPr="00E81404">
        <w:rPr>
          <w:lang w:val="pl-PL"/>
        </w:rPr>
        <w:t xml:space="preserve">II.C.1 </w:t>
      </w:r>
      <w:bookmarkEnd w:id="467"/>
      <w:r w:rsidR="00485C9F" w:rsidRPr="00E81404">
        <w:rPr>
          <w:lang w:val="pl-PL"/>
        </w:rPr>
        <w:t>Badania, kt</w:t>
      </w:r>
      <w:r w:rsidR="009E1EDB" w:rsidRPr="00E81404">
        <w:rPr>
          <w:lang w:val="pl-PL"/>
        </w:rPr>
        <w:t>ó</w:t>
      </w:r>
      <w:r w:rsidR="00485C9F" w:rsidRPr="00E81404">
        <w:rPr>
          <w:lang w:val="pl-PL"/>
        </w:rPr>
        <w:t>rych przeprowadzenie stanowi warunek uzys</w:t>
      </w:r>
      <w:r w:rsidR="00BF7F82" w:rsidRPr="00E81404">
        <w:rPr>
          <w:lang w:val="pl-PL"/>
        </w:rPr>
        <w:t>k</w:t>
      </w:r>
      <w:r w:rsidR="00485C9F" w:rsidRPr="00E81404">
        <w:rPr>
          <w:lang w:val="pl-PL"/>
        </w:rPr>
        <w:t xml:space="preserve">ania </w:t>
      </w:r>
      <w:r w:rsidR="00B31948" w:rsidRPr="00E81404">
        <w:rPr>
          <w:lang w:val="pl-PL"/>
        </w:rPr>
        <w:t xml:space="preserve">pozwolenia na dopuszczenie </w:t>
      </w:r>
      <w:r w:rsidR="00485C9F" w:rsidRPr="00E81404">
        <w:rPr>
          <w:lang w:val="pl-PL"/>
        </w:rPr>
        <w:t>do obrotu</w:t>
      </w:r>
      <w:r w:rsidR="00F67490">
        <w:rPr>
          <w:lang w:val="pl-PL"/>
        </w:rPr>
        <w:t xml:space="preserve"> </w:t>
      </w:r>
      <w:r w:rsidR="00F67490" w:rsidRPr="00E81404">
        <w:rPr>
          <w:lang w:val="pl-PL"/>
        </w:rPr>
        <w:t>produktu</w:t>
      </w:r>
      <w:r w:rsidR="00F67490">
        <w:rPr>
          <w:lang w:val="pl-PL"/>
        </w:rPr>
        <w:t xml:space="preserve"> leczniczego</w:t>
      </w:r>
    </w:p>
    <w:p w14:paraId="0D837185" w14:textId="6CB96DE2" w:rsidR="008C75A2" w:rsidRPr="00594595" w:rsidRDefault="00BA4405" w:rsidP="00C54412">
      <w:pPr>
        <w:pStyle w:val="BodytextAgency"/>
        <w:jc w:val="both"/>
        <w:rPr>
          <w:lang w:val="pl-PL"/>
        </w:rPr>
      </w:pPr>
      <w:r>
        <w:rPr>
          <w:lang w:val="pl-PL"/>
        </w:rPr>
        <w:t>Nie dotyczy</w:t>
      </w:r>
      <w:r w:rsidR="002201C7" w:rsidRPr="00594595">
        <w:rPr>
          <w:lang w:val="pl-PL"/>
        </w:rPr>
        <w:t>.</w:t>
      </w:r>
    </w:p>
    <w:p w14:paraId="06A6A9B3" w14:textId="77777777" w:rsidR="008C75A2" w:rsidRPr="00594595" w:rsidRDefault="003C1ABE" w:rsidP="00CC3992">
      <w:pPr>
        <w:pStyle w:val="Heading3Agency"/>
        <w:numPr>
          <w:ilvl w:val="0"/>
          <w:numId w:val="0"/>
        </w:numPr>
        <w:jc w:val="both"/>
        <w:rPr>
          <w:lang w:val="pl-PL"/>
        </w:rPr>
      </w:pPr>
      <w:bookmarkStart w:id="468" w:name="_Toc444075119"/>
      <w:r w:rsidRPr="00594595">
        <w:rPr>
          <w:rFonts w:eastAsia="MS Mincho"/>
          <w:lang w:val="pl-PL" w:eastAsia="ja-JP"/>
        </w:rPr>
        <w:t xml:space="preserve">II.C.2 </w:t>
      </w:r>
      <w:bookmarkEnd w:id="468"/>
      <w:r w:rsidR="00F6395C" w:rsidRPr="00594595">
        <w:rPr>
          <w:lang w:val="pl-PL"/>
        </w:rPr>
        <w:t xml:space="preserve">Inne badania </w:t>
      </w:r>
      <w:proofErr w:type="spellStart"/>
      <w:r w:rsidR="00F6395C" w:rsidRPr="00594595">
        <w:rPr>
          <w:lang w:val="pl-PL"/>
        </w:rPr>
        <w:t>porejestracyjne</w:t>
      </w:r>
      <w:proofErr w:type="spellEnd"/>
      <w:r w:rsidR="00F6395C" w:rsidRPr="00594595">
        <w:rPr>
          <w:lang w:val="pl-PL"/>
        </w:rPr>
        <w:t xml:space="preserve"> uwzględnione w planie rozw</w:t>
      </w:r>
      <w:r w:rsidR="009E1EDB" w:rsidRPr="00594595">
        <w:rPr>
          <w:lang w:val="pl-PL"/>
        </w:rPr>
        <w:t>oj</w:t>
      </w:r>
      <w:r w:rsidR="00594595">
        <w:rPr>
          <w:lang w:val="pl-PL"/>
        </w:rPr>
        <w:t xml:space="preserve">u </w:t>
      </w:r>
      <w:r w:rsidR="00F6395C" w:rsidRPr="00594595">
        <w:rPr>
          <w:lang w:val="pl-PL"/>
        </w:rPr>
        <w:t>produktu</w:t>
      </w:r>
      <w:r w:rsidR="00C54412">
        <w:rPr>
          <w:lang w:val="pl-PL"/>
        </w:rPr>
        <w:t xml:space="preserve"> leczniczego</w:t>
      </w:r>
    </w:p>
    <w:p w14:paraId="22E37A57" w14:textId="6F972755" w:rsidR="00DF005C" w:rsidRPr="00594595" w:rsidRDefault="00BA4405" w:rsidP="00C54412">
      <w:pPr>
        <w:pStyle w:val="BodytextAgency"/>
        <w:jc w:val="both"/>
        <w:rPr>
          <w:lang w:val="pl-PL"/>
        </w:rPr>
      </w:pPr>
      <w:r w:rsidRPr="00BA4405">
        <w:rPr>
          <w:lang w:val="pl-PL"/>
        </w:rPr>
        <w:t>Nie dotyczy</w:t>
      </w:r>
      <w:r w:rsidR="008E7444" w:rsidRPr="00594595">
        <w:rPr>
          <w:lang w:val="pl-PL"/>
        </w:rPr>
        <w:t>.</w:t>
      </w:r>
    </w:p>
    <w:sectPr w:rsidR="00DF005C" w:rsidRPr="00594595" w:rsidSect="008A1257"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247" w:bottom="1418" w:left="1247" w:header="28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A712E" w14:textId="77777777" w:rsidR="00B86752" w:rsidRDefault="00B86752">
      <w:r>
        <w:separator/>
      </w:r>
    </w:p>
  </w:endnote>
  <w:endnote w:type="continuationSeparator" w:id="0">
    <w:p w14:paraId="123434AC" w14:textId="77777777" w:rsidR="00B86752" w:rsidRDefault="00B8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279DA" w14:textId="77777777" w:rsidR="0077289C" w:rsidRDefault="0077289C" w:rsidP="008A12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F97564" w14:textId="77777777" w:rsidR="0077289C" w:rsidRDefault="0077289C" w:rsidP="0077289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75DB8" w14:textId="77777777" w:rsidR="0077289C" w:rsidRDefault="0077289C" w:rsidP="008A12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24C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9533947" w14:textId="77777777" w:rsidR="00893989" w:rsidRDefault="00893989" w:rsidP="0077289C">
    <w:pPr>
      <w:pStyle w:val="FooterAgency"/>
      <w:ind w:right="360"/>
    </w:pPr>
  </w:p>
  <w:p w14:paraId="08C9460B" w14:textId="77777777" w:rsidR="00893989" w:rsidRDefault="00893989">
    <w:pPr>
      <w:pStyle w:val="NormalAgency"/>
    </w:pPr>
  </w:p>
  <w:p w14:paraId="2C90C12E" w14:textId="77777777" w:rsidR="00893989" w:rsidRDefault="00893989" w:rsidP="00073E98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206"/>
      <w:gridCol w:w="3207"/>
    </w:tblGrid>
    <w:tr w:rsidR="00893989" w:rsidRPr="00390AC0" w14:paraId="7D9187E1" w14:textId="77777777" w:rsidTr="00055C4C">
      <w:trPr>
        <w:trHeight w:val="173"/>
      </w:trPr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19A22C7D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begin"/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instrText xml:space="preserve"> PAGE </w:instrText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separate"/>
          </w:r>
          <w:r w:rsidR="008A1257">
            <w:rPr>
              <w:rStyle w:val="Numerstrony"/>
              <w:rFonts w:ascii="Arial" w:eastAsia="Times New Roman" w:hAnsi="Arial" w:cs="Verdana"/>
              <w:noProof/>
              <w:color w:val="auto"/>
              <w:sz w:val="16"/>
              <w:szCs w:val="20"/>
              <w:lang w:val="en-GB" w:eastAsia="en-US"/>
            </w:rPr>
            <w:t>1</w:t>
          </w:r>
          <w:r w:rsidRPr="00F976D4">
            <w:rPr>
              <w:rStyle w:val="Numerstrony"/>
              <w:rFonts w:ascii="Arial" w:eastAsia="Times New Roman" w:hAnsi="Arial" w:cs="Verdana"/>
              <w:color w:val="auto"/>
              <w:sz w:val="16"/>
              <w:szCs w:val="20"/>
              <w:lang w:val="en-GB" w:eastAsia="en-US"/>
            </w:rPr>
            <w:fldChar w:fldCharType="end"/>
          </w:r>
        </w:p>
      </w:tc>
    </w:tr>
    <w:tr w:rsidR="00893989" w:rsidRPr="00390AC0" w14:paraId="22ED166D" w14:textId="77777777">
      <w:trPr>
        <w:trHeight w:hRule="exact" w:val="198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5316C616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  <w:tc>
        <w:tcPr>
          <w:tcW w:w="3207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478"/>
            <w:gridCol w:w="709"/>
          </w:tblGrid>
          <w:tr w:rsidR="00893989" w:rsidRPr="00A44B87" w14:paraId="2F59E4B7" w14:textId="77777777">
            <w:trPr>
              <w:trHeight w:val="180"/>
              <w:tblHeader/>
              <w:jc w:val="right"/>
            </w:trPr>
            <w:tc>
              <w:tcPr>
                <w:tcW w:w="2478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14:paraId="2BBA23DE" w14:textId="77777777" w:rsidR="00893989" w:rsidRPr="00F976D4" w:rsidRDefault="00893989">
                <w:pPr>
                  <w:pStyle w:val="FooterAgency"/>
                  <w:jc w:val="right"/>
                  <w:rPr>
                    <w:rFonts w:cs="Verdana"/>
                    <w:lang w:val="en-GB" w:eastAsia="en-GB"/>
                  </w:rPr>
                </w:pP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14:paraId="1EFEC861" w14:textId="77777777" w:rsidR="00893989" w:rsidRPr="00F976D4" w:rsidRDefault="00893989">
                <w:pPr>
                  <w:pStyle w:val="FooterAgency"/>
                  <w:jc w:val="right"/>
                  <w:rPr>
                    <w:rFonts w:cs="Verdana"/>
                    <w:lang w:val="en-GB" w:eastAsia="en-GB"/>
                  </w:rPr>
                </w:pPr>
              </w:p>
            </w:tc>
          </w:tr>
          <w:tr w:rsidR="00893989" w:rsidRPr="00A44B87" w14:paraId="1472AB2D" w14:textId="77777777">
            <w:trPr>
              <w:trHeight w:val="390"/>
              <w:jc w:val="right"/>
            </w:trPr>
            <w:tc>
              <w:tcPr>
                <w:tcW w:w="2478" w:type="dxa"/>
                <w:vMerge/>
                <w:shd w:val="clear" w:color="auto" w:fill="auto"/>
              </w:tcPr>
              <w:p w14:paraId="26A81227" w14:textId="77777777" w:rsidR="00893989" w:rsidRPr="00F976D4" w:rsidRDefault="00893989">
                <w:pPr>
                  <w:pStyle w:val="FooterAgency"/>
                  <w:rPr>
                    <w:rFonts w:cs="Verdana"/>
                    <w:lang w:val="en-GB" w:eastAsia="en-GB"/>
                  </w:rPr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14:paraId="18CD3B8F" w14:textId="77777777" w:rsidR="00893989" w:rsidRPr="00F976D4" w:rsidRDefault="00893989">
                <w:pPr>
                  <w:pStyle w:val="FooterAgency"/>
                  <w:rPr>
                    <w:rFonts w:cs="Verdana"/>
                    <w:lang w:val="en-GB" w:eastAsia="en-GB"/>
                  </w:rPr>
                </w:pPr>
              </w:p>
            </w:tc>
          </w:tr>
        </w:tbl>
        <w:p w14:paraId="0E1DA91B" w14:textId="77777777" w:rsidR="00893989" w:rsidRPr="00F976D4" w:rsidRDefault="00893989">
          <w:pPr>
            <w:pStyle w:val="FooterAgency"/>
            <w:widowControl w:val="0"/>
            <w:adjustRightInd w:val="0"/>
            <w:jc w:val="right"/>
            <w:rPr>
              <w:rFonts w:cs="Verdana"/>
              <w:lang w:val="en-GB" w:eastAsia="en-GB"/>
            </w:rPr>
          </w:pPr>
        </w:p>
      </w:tc>
    </w:tr>
    <w:tr w:rsidR="00893989" w:rsidRPr="00390AC0" w14:paraId="3B2D0384" w14:textId="77777777">
      <w:trPr>
        <w:trHeight w:val="390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p w14:paraId="7C820E1D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  <w:tc>
        <w:tcPr>
          <w:tcW w:w="3207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14:paraId="2464696B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</w:tr>
    <w:tr w:rsidR="00893989" w:rsidRPr="00390AC0" w14:paraId="3A43CEE5" w14:textId="77777777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14:paraId="48ECAA08" w14:textId="77777777" w:rsidR="00893989" w:rsidRPr="00F976D4" w:rsidRDefault="00893989">
          <w:pPr>
            <w:pStyle w:val="FooterAgency"/>
            <w:rPr>
              <w:rFonts w:cs="Verdana"/>
              <w:lang w:val="en-GB" w:eastAsia="en-GB"/>
            </w:rPr>
          </w:pPr>
        </w:p>
      </w:tc>
    </w:tr>
  </w:tbl>
  <w:p w14:paraId="566506CD" w14:textId="77777777" w:rsidR="00893989" w:rsidRDefault="00893989" w:rsidP="00073E98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3C7E2" w14:textId="77777777" w:rsidR="00B86752" w:rsidRDefault="00B86752">
      <w:r>
        <w:separator/>
      </w:r>
    </w:p>
  </w:footnote>
  <w:footnote w:type="continuationSeparator" w:id="0">
    <w:p w14:paraId="4CD3D6EA" w14:textId="77777777" w:rsidR="00B86752" w:rsidRDefault="00B8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1C110" w14:textId="77777777" w:rsidR="00893989" w:rsidRDefault="00893989" w:rsidP="00B636AF">
    <w:pPr>
      <w:pStyle w:val="Head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B6B2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356D5"/>
    <w:multiLevelType w:val="hybridMultilevel"/>
    <w:tmpl w:val="1CB830B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5C0C69"/>
    <w:multiLevelType w:val="hybridMultilevel"/>
    <w:tmpl w:val="B0EE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93709"/>
    <w:multiLevelType w:val="hybridMultilevel"/>
    <w:tmpl w:val="8E7A71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F45CE7"/>
    <w:multiLevelType w:val="hybridMultilevel"/>
    <w:tmpl w:val="87B80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A36AD"/>
    <w:multiLevelType w:val="multilevel"/>
    <w:tmpl w:val="A02E932A"/>
    <w:numStyleLink w:val="BulletsAgency"/>
  </w:abstractNum>
  <w:abstractNum w:abstractNumId="6" w15:restartNumberingAfterBreak="0">
    <w:nsid w:val="07C70FA5"/>
    <w:multiLevelType w:val="hybridMultilevel"/>
    <w:tmpl w:val="AAAAEAB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8" w15:restartNumberingAfterBreak="0">
    <w:nsid w:val="094668CA"/>
    <w:multiLevelType w:val="multilevel"/>
    <w:tmpl w:val="A02E932A"/>
    <w:numStyleLink w:val="BulletsAgency"/>
  </w:abstractNum>
  <w:abstractNum w:abstractNumId="9" w15:restartNumberingAfterBreak="0">
    <w:nsid w:val="09C56B56"/>
    <w:multiLevelType w:val="hybridMultilevel"/>
    <w:tmpl w:val="065EAE1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0D720E9F"/>
    <w:multiLevelType w:val="hybridMultilevel"/>
    <w:tmpl w:val="18FCD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77750"/>
    <w:multiLevelType w:val="hybridMultilevel"/>
    <w:tmpl w:val="FFB6B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E883475"/>
    <w:multiLevelType w:val="hybridMultilevel"/>
    <w:tmpl w:val="32A2FD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E904FF7"/>
    <w:multiLevelType w:val="multilevel"/>
    <w:tmpl w:val="A02E932A"/>
    <w:numStyleLink w:val="BulletsAgency"/>
  </w:abstractNum>
  <w:abstractNum w:abstractNumId="16" w15:restartNumberingAfterBreak="0">
    <w:nsid w:val="0F055971"/>
    <w:multiLevelType w:val="multilevel"/>
    <w:tmpl w:val="A02E932A"/>
    <w:numStyleLink w:val="BulletsAgency"/>
  </w:abstractNum>
  <w:abstractNum w:abstractNumId="17" w15:restartNumberingAfterBreak="0">
    <w:nsid w:val="11B61526"/>
    <w:multiLevelType w:val="multilevel"/>
    <w:tmpl w:val="A02E932A"/>
    <w:numStyleLink w:val="BulletsAgency"/>
  </w:abstractNum>
  <w:abstractNum w:abstractNumId="18" w15:restartNumberingAfterBreak="0">
    <w:nsid w:val="123C2D25"/>
    <w:multiLevelType w:val="hybridMultilevel"/>
    <w:tmpl w:val="65BAE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8A2920"/>
    <w:multiLevelType w:val="multilevel"/>
    <w:tmpl w:val="A02E932A"/>
    <w:numStyleLink w:val="BulletsAgency"/>
  </w:abstractNum>
  <w:abstractNum w:abstractNumId="20" w15:restartNumberingAfterBreak="0">
    <w:nsid w:val="14E3753F"/>
    <w:multiLevelType w:val="hybridMultilevel"/>
    <w:tmpl w:val="78B2C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F1777E"/>
    <w:multiLevelType w:val="multilevel"/>
    <w:tmpl w:val="ADA62728"/>
    <w:lvl w:ilvl="0">
      <w:start w:val="1"/>
      <w:numFmt w:val="decimal"/>
      <w:lvlText w:val="SVII.%1."/>
      <w:lvlJc w:val="left"/>
      <w:pPr>
        <w:ind w:left="1070" w:hanging="360"/>
      </w:pPr>
      <w:rPr>
        <w:b/>
        <w:sz w:val="22"/>
        <w:szCs w:val="22"/>
      </w:rPr>
    </w:lvl>
    <w:lvl w:ilvl="1">
      <w:start w:val="1"/>
      <w:numFmt w:val="decimal"/>
      <w:lvlText w:val="SVII.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2917A1"/>
    <w:multiLevelType w:val="multilevel"/>
    <w:tmpl w:val="A02E932A"/>
    <w:numStyleLink w:val="BulletsAgency"/>
  </w:abstractNum>
  <w:abstractNum w:abstractNumId="23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4" w15:restartNumberingAfterBreak="0">
    <w:nsid w:val="1F582B52"/>
    <w:multiLevelType w:val="multilevel"/>
    <w:tmpl w:val="A02E932A"/>
    <w:numStyleLink w:val="BulletsAgency"/>
  </w:abstractNum>
  <w:abstractNum w:abstractNumId="25" w15:restartNumberingAfterBreak="0">
    <w:nsid w:val="1FB1095C"/>
    <w:multiLevelType w:val="hybridMultilevel"/>
    <w:tmpl w:val="DF30E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4F0D12"/>
    <w:multiLevelType w:val="multilevel"/>
    <w:tmpl w:val="A02E932A"/>
    <w:numStyleLink w:val="BulletsAgency"/>
  </w:abstractNum>
  <w:abstractNum w:abstractNumId="27" w15:restartNumberingAfterBreak="0">
    <w:nsid w:val="21520991"/>
    <w:multiLevelType w:val="multilevel"/>
    <w:tmpl w:val="A02E932A"/>
    <w:numStyleLink w:val="BulletsAgency"/>
  </w:abstractNum>
  <w:abstractNum w:abstractNumId="28" w15:restartNumberingAfterBreak="0">
    <w:nsid w:val="21A911AB"/>
    <w:multiLevelType w:val="hybridMultilevel"/>
    <w:tmpl w:val="2370D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A00B74"/>
    <w:multiLevelType w:val="hybridMultilevel"/>
    <w:tmpl w:val="88CEEB4C"/>
    <w:lvl w:ilvl="0" w:tplc="031460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B63DB0"/>
    <w:multiLevelType w:val="multilevel"/>
    <w:tmpl w:val="A02E932A"/>
    <w:numStyleLink w:val="BulletsAgency"/>
  </w:abstractNum>
  <w:abstractNum w:abstractNumId="31" w15:restartNumberingAfterBreak="0">
    <w:nsid w:val="293807BD"/>
    <w:multiLevelType w:val="multilevel"/>
    <w:tmpl w:val="A02E932A"/>
    <w:numStyleLink w:val="BulletsAgency"/>
  </w:abstractNum>
  <w:abstractNum w:abstractNumId="32" w15:restartNumberingAfterBreak="0">
    <w:nsid w:val="2B6F72C7"/>
    <w:multiLevelType w:val="hybridMultilevel"/>
    <w:tmpl w:val="093E08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6028C1"/>
    <w:multiLevelType w:val="multilevel"/>
    <w:tmpl w:val="A02E932A"/>
    <w:numStyleLink w:val="BulletsAgency"/>
  </w:abstractNum>
  <w:abstractNum w:abstractNumId="34" w15:restartNumberingAfterBreak="0">
    <w:nsid w:val="2DB81546"/>
    <w:multiLevelType w:val="multilevel"/>
    <w:tmpl w:val="A02E932A"/>
    <w:numStyleLink w:val="BulletsAgency"/>
  </w:abstractNum>
  <w:abstractNum w:abstractNumId="35" w15:restartNumberingAfterBreak="0">
    <w:nsid w:val="2E414021"/>
    <w:multiLevelType w:val="multilevel"/>
    <w:tmpl w:val="A02E932A"/>
    <w:numStyleLink w:val="BulletsAgency"/>
  </w:abstractNum>
  <w:abstractNum w:abstractNumId="36" w15:restartNumberingAfterBreak="0">
    <w:nsid w:val="30FC6D4E"/>
    <w:multiLevelType w:val="hybridMultilevel"/>
    <w:tmpl w:val="428A0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D900E1"/>
    <w:multiLevelType w:val="hybridMultilevel"/>
    <w:tmpl w:val="ACB8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71B85"/>
    <w:multiLevelType w:val="hybridMultilevel"/>
    <w:tmpl w:val="7E1450C6"/>
    <w:lvl w:ilvl="0" w:tplc="048CBEE8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9" w15:restartNumberingAfterBreak="0">
    <w:nsid w:val="32AC3FFF"/>
    <w:multiLevelType w:val="multilevel"/>
    <w:tmpl w:val="04090023"/>
    <w:styleLink w:val="Artykusekcja"/>
    <w:lvl w:ilvl="0">
      <w:start w:val="1"/>
      <w:numFmt w:val="upperRoman"/>
      <w:pStyle w:val="Nagwek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 w15:restartNumberingAfterBreak="0">
    <w:nsid w:val="33DF3D53"/>
    <w:multiLevelType w:val="hybridMultilevel"/>
    <w:tmpl w:val="A5FC3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5511D2"/>
    <w:multiLevelType w:val="multilevel"/>
    <w:tmpl w:val="C71AAD4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2" w15:restartNumberingAfterBreak="0">
    <w:nsid w:val="3AF101A7"/>
    <w:multiLevelType w:val="multilevel"/>
    <w:tmpl w:val="A02E932A"/>
    <w:numStyleLink w:val="BulletsAgency"/>
  </w:abstractNum>
  <w:abstractNum w:abstractNumId="43" w15:restartNumberingAfterBreak="0">
    <w:nsid w:val="3C653638"/>
    <w:multiLevelType w:val="hybridMultilevel"/>
    <w:tmpl w:val="9920E7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D831D91"/>
    <w:multiLevelType w:val="multilevel"/>
    <w:tmpl w:val="A02E932A"/>
    <w:numStyleLink w:val="BulletsAgency"/>
  </w:abstractNum>
  <w:abstractNum w:abstractNumId="45" w15:restartNumberingAfterBreak="0">
    <w:nsid w:val="3DDD7840"/>
    <w:multiLevelType w:val="hybridMultilevel"/>
    <w:tmpl w:val="04BE4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7767D9"/>
    <w:multiLevelType w:val="multilevel"/>
    <w:tmpl w:val="A02E932A"/>
    <w:numStyleLink w:val="BulletsAgency"/>
  </w:abstractNum>
  <w:abstractNum w:abstractNumId="47" w15:restartNumberingAfterBreak="0">
    <w:nsid w:val="3F9909BA"/>
    <w:multiLevelType w:val="hybridMultilevel"/>
    <w:tmpl w:val="C6BA5EB8"/>
    <w:lvl w:ilvl="0" w:tplc="6536548C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D738E2"/>
    <w:multiLevelType w:val="multilevel"/>
    <w:tmpl w:val="A02E932A"/>
    <w:numStyleLink w:val="BulletsAgency"/>
  </w:abstractNum>
  <w:abstractNum w:abstractNumId="49" w15:restartNumberingAfterBreak="0">
    <w:nsid w:val="458F52DC"/>
    <w:multiLevelType w:val="multilevel"/>
    <w:tmpl w:val="A02E932A"/>
    <w:numStyleLink w:val="BulletsAgency"/>
  </w:abstractNum>
  <w:abstractNum w:abstractNumId="50" w15:restartNumberingAfterBreak="0">
    <w:nsid w:val="468B0B51"/>
    <w:multiLevelType w:val="hybridMultilevel"/>
    <w:tmpl w:val="C4407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C52694"/>
    <w:multiLevelType w:val="hybridMultilevel"/>
    <w:tmpl w:val="49D85C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87A375B"/>
    <w:multiLevelType w:val="multilevel"/>
    <w:tmpl w:val="A02E932A"/>
    <w:numStyleLink w:val="BulletsAgency"/>
  </w:abstractNum>
  <w:abstractNum w:abstractNumId="53" w15:restartNumberingAfterBreak="0">
    <w:nsid w:val="4A66618D"/>
    <w:multiLevelType w:val="multilevel"/>
    <w:tmpl w:val="A02E932A"/>
    <w:numStyleLink w:val="BulletsAgency"/>
  </w:abstractNum>
  <w:abstractNum w:abstractNumId="54" w15:restartNumberingAfterBreak="0">
    <w:nsid w:val="4AE02EDC"/>
    <w:multiLevelType w:val="hybridMultilevel"/>
    <w:tmpl w:val="6C045F3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6A2A4A"/>
    <w:multiLevelType w:val="multilevel"/>
    <w:tmpl w:val="1F0C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5240211E"/>
    <w:multiLevelType w:val="multilevel"/>
    <w:tmpl w:val="A02E932A"/>
    <w:numStyleLink w:val="BulletsAgency"/>
  </w:abstractNum>
  <w:abstractNum w:abstractNumId="58" w15:restartNumberingAfterBreak="0">
    <w:nsid w:val="53290231"/>
    <w:multiLevelType w:val="multilevel"/>
    <w:tmpl w:val="A02E932A"/>
    <w:numStyleLink w:val="BulletsAgency"/>
  </w:abstractNum>
  <w:abstractNum w:abstractNumId="59" w15:restartNumberingAfterBreak="0">
    <w:nsid w:val="53580F98"/>
    <w:multiLevelType w:val="singleLevel"/>
    <w:tmpl w:val="50A89044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60" w15:restartNumberingAfterBreak="0">
    <w:nsid w:val="53F92C92"/>
    <w:multiLevelType w:val="multilevel"/>
    <w:tmpl w:val="A02E932A"/>
    <w:numStyleLink w:val="BulletsAgency"/>
  </w:abstractNum>
  <w:abstractNum w:abstractNumId="61" w15:restartNumberingAfterBreak="0">
    <w:nsid w:val="54B5589F"/>
    <w:multiLevelType w:val="multilevel"/>
    <w:tmpl w:val="A02E932A"/>
    <w:numStyleLink w:val="BulletsAgency"/>
  </w:abstractNum>
  <w:abstractNum w:abstractNumId="62" w15:restartNumberingAfterBreak="0">
    <w:nsid w:val="54E05842"/>
    <w:multiLevelType w:val="multilevel"/>
    <w:tmpl w:val="A02E932A"/>
    <w:numStyleLink w:val="BulletsAgency"/>
  </w:abstractNum>
  <w:abstractNum w:abstractNumId="63" w15:restartNumberingAfterBreak="0">
    <w:nsid w:val="554B788F"/>
    <w:multiLevelType w:val="multilevel"/>
    <w:tmpl w:val="A02E932A"/>
    <w:numStyleLink w:val="BulletsAgency"/>
  </w:abstractNum>
  <w:abstractNum w:abstractNumId="64" w15:restartNumberingAfterBreak="0">
    <w:nsid w:val="559866FE"/>
    <w:multiLevelType w:val="multilevel"/>
    <w:tmpl w:val="A02E932A"/>
    <w:numStyleLink w:val="BulletsAgency"/>
  </w:abstractNum>
  <w:abstractNum w:abstractNumId="65" w15:restartNumberingAfterBreak="0">
    <w:nsid w:val="559E5B3D"/>
    <w:multiLevelType w:val="hybridMultilevel"/>
    <w:tmpl w:val="ECA4FA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55B00EA9"/>
    <w:multiLevelType w:val="hybridMultilevel"/>
    <w:tmpl w:val="880CC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2A496A"/>
    <w:multiLevelType w:val="multilevel"/>
    <w:tmpl w:val="A02E932A"/>
    <w:numStyleLink w:val="BulletsAgency"/>
  </w:abstractNum>
  <w:abstractNum w:abstractNumId="68" w15:restartNumberingAfterBreak="0">
    <w:nsid w:val="571348EC"/>
    <w:multiLevelType w:val="hybridMultilevel"/>
    <w:tmpl w:val="A5427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49203E"/>
    <w:multiLevelType w:val="hybridMultilevel"/>
    <w:tmpl w:val="4464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6D25AE"/>
    <w:multiLevelType w:val="multilevel"/>
    <w:tmpl w:val="A02E932A"/>
    <w:numStyleLink w:val="BulletsAgency"/>
  </w:abstractNum>
  <w:abstractNum w:abstractNumId="71" w15:restartNumberingAfterBreak="0">
    <w:nsid w:val="5B701DD5"/>
    <w:multiLevelType w:val="multilevel"/>
    <w:tmpl w:val="A02E932A"/>
    <w:numStyleLink w:val="BulletsAgency"/>
  </w:abstractNum>
  <w:abstractNum w:abstractNumId="72" w15:restartNumberingAfterBreak="0">
    <w:nsid w:val="5C310C62"/>
    <w:multiLevelType w:val="multilevel"/>
    <w:tmpl w:val="A02E932A"/>
    <w:numStyleLink w:val="BulletsAgency"/>
  </w:abstractNum>
  <w:abstractNum w:abstractNumId="73" w15:restartNumberingAfterBreak="0">
    <w:nsid w:val="5C864C6A"/>
    <w:multiLevelType w:val="multilevel"/>
    <w:tmpl w:val="A02E932A"/>
    <w:numStyleLink w:val="BulletsAgency"/>
  </w:abstractNum>
  <w:abstractNum w:abstractNumId="74" w15:restartNumberingAfterBreak="0">
    <w:nsid w:val="5CAE4BC4"/>
    <w:multiLevelType w:val="multilevel"/>
    <w:tmpl w:val="C6BA5E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C65919"/>
    <w:multiLevelType w:val="hybridMultilevel"/>
    <w:tmpl w:val="8D882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FA13AA"/>
    <w:multiLevelType w:val="multilevel"/>
    <w:tmpl w:val="A02E932A"/>
    <w:numStyleLink w:val="BulletsAgency"/>
  </w:abstractNum>
  <w:abstractNum w:abstractNumId="77" w15:restartNumberingAfterBreak="0">
    <w:nsid w:val="61AC4D90"/>
    <w:multiLevelType w:val="hybridMultilevel"/>
    <w:tmpl w:val="5F36E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79" w15:restartNumberingAfterBreak="0">
    <w:nsid w:val="65C92A77"/>
    <w:multiLevelType w:val="hybridMultilevel"/>
    <w:tmpl w:val="30383B3E"/>
    <w:lvl w:ilvl="0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1DC45DFC"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Verdana" w:eastAsia="SimSun" w:hAnsi="Verdana" w:cs="TimesNewRomanPS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0" w15:restartNumberingAfterBreak="0">
    <w:nsid w:val="685128E9"/>
    <w:multiLevelType w:val="multilevel"/>
    <w:tmpl w:val="A02E932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81" w15:restartNumberingAfterBreak="0">
    <w:nsid w:val="69842ADB"/>
    <w:multiLevelType w:val="multilevel"/>
    <w:tmpl w:val="A02E932A"/>
    <w:numStyleLink w:val="BulletsAgency"/>
  </w:abstractNum>
  <w:abstractNum w:abstractNumId="82" w15:restartNumberingAfterBreak="0">
    <w:nsid w:val="69C91101"/>
    <w:multiLevelType w:val="multilevel"/>
    <w:tmpl w:val="A02E932A"/>
    <w:numStyleLink w:val="BulletsAgency"/>
  </w:abstractNum>
  <w:abstractNum w:abstractNumId="83" w15:restartNumberingAfterBreak="0">
    <w:nsid w:val="6A5C1BFE"/>
    <w:multiLevelType w:val="multilevel"/>
    <w:tmpl w:val="A02E932A"/>
    <w:numStyleLink w:val="BulletsAgency"/>
  </w:abstractNum>
  <w:abstractNum w:abstractNumId="84" w15:restartNumberingAfterBreak="0">
    <w:nsid w:val="6CF00A0B"/>
    <w:multiLevelType w:val="multilevel"/>
    <w:tmpl w:val="A02E932A"/>
    <w:numStyleLink w:val="BulletsAgency"/>
  </w:abstractNum>
  <w:abstractNum w:abstractNumId="85" w15:restartNumberingAfterBreak="0">
    <w:nsid w:val="6E79614B"/>
    <w:multiLevelType w:val="multilevel"/>
    <w:tmpl w:val="A02E932A"/>
    <w:numStyleLink w:val="BulletsAgency"/>
  </w:abstractNum>
  <w:abstractNum w:abstractNumId="86" w15:restartNumberingAfterBreak="0">
    <w:nsid w:val="6F8E7669"/>
    <w:multiLevelType w:val="multilevel"/>
    <w:tmpl w:val="A02E932A"/>
    <w:numStyleLink w:val="BulletsAgency"/>
  </w:abstractNum>
  <w:abstractNum w:abstractNumId="87" w15:restartNumberingAfterBreak="0">
    <w:nsid w:val="6FC9524D"/>
    <w:multiLevelType w:val="multilevel"/>
    <w:tmpl w:val="7614763A"/>
    <w:numStyleLink w:val="NumberlistAgency"/>
  </w:abstractNum>
  <w:abstractNum w:abstractNumId="88" w15:restartNumberingAfterBreak="0">
    <w:nsid w:val="6FDD3880"/>
    <w:multiLevelType w:val="hybridMultilevel"/>
    <w:tmpl w:val="79CE3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33C0992"/>
    <w:multiLevelType w:val="multilevel"/>
    <w:tmpl w:val="A02E932A"/>
    <w:numStyleLink w:val="BulletsAgency"/>
  </w:abstractNum>
  <w:abstractNum w:abstractNumId="90" w15:restartNumberingAfterBreak="0">
    <w:nsid w:val="742F044F"/>
    <w:multiLevelType w:val="multilevel"/>
    <w:tmpl w:val="A02E932A"/>
    <w:numStyleLink w:val="BulletsAgency"/>
  </w:abstractNum>
  <w:abstractNum w:abstractNumId="91" w15:restartNumberingAfterBreak="0">
    <w:nsid w:val="7531362F"/>
    <w:multiLevelType w:val="hybridMultilevel"/>
    <w:tmpl w:val="DFD4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73C07C5"/>
    <w:multiLevelType w:val="multilevel"/>
    <w:tmpl w:val="A02E932A"/>
    <w:numStyleLink w:val="BulletsAgency"/>
  </w:abstractNum>
  <w:abstractNum w:abstractNumId="93" w15:restartNumberingAfterBreak="0">
    <w:nsid w:val="7A486D7E"/>
    <w:multiLevelType w:val="multilevel"/>
    <w:tmpl w:val="A02E932A"/>
    <w:numStyleLink w:val="BulletsAgency"/>
  </w:abstractNum>
  <w:abstractNum w:abstractNumId="94" w15:restartNumberingAfterBreak="0">
    <w:nsid w:val="7CEA793E"/>
    <w:multiLevelType w:val="multilevel"/>
    <w:tmpl w:val="A02E932A"/>
    <w:numStyleLink w:val="BulletsAgency"/>
  </w:abstractNum>
  <w:abstractNum w:abstractNumId="95" w15:restartNumberingAfterBreak="0">
    <w:nsid w:val="7FBC2408"/>
    <w:multiLevelType w:val="hybridMultilevel"/>
    <w:tmpl w:val="DAB4D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6"/>
  </w:num>
  <w:num w:numId="4">
    <w:abstractNumId w:val="23"/>
  </w:num>
  <w:num w:numId="5">
    <w:abstractNumId w:val="10"/>
  </w:num>
  <w:num w:numId="6">
    <w:abstractNumId w:val="6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0"/>
  </w:num>
  <w:num w:numId="50">
    <w:abstractNumId w:val="86"/>
  </w:num>
  <w:num w:numId="51">
    <w:abstractNumId w:val="93"/>
  </w:num>
  <w:num w:numId="52">
    <w:abstractNumId w:val="72"/>
  </w:num>
  <w:num w:numId="53">
    <w:abstractNumId w:val="20"/>
  </w:num>
  <w:num w:numId="54">
    <w:abstractNumId w:val="15"/>
  </w:num>
  <w:num w:numId="55">
    <w:abstractNumId w:val="5"/>
  </w:num>
  <w:num w:numId="56">
    <w:abstractNumId w:val="91"/>
  </w:num>
  <w:num w:numId="57">
    <w:abstractNumId w:val="95"/>
  </w:num>
  <w:num w:numId="58">
    <w:abstractNumId w:val="2"/>
  </w:num>
  <w:num w:numId="59">
    <w:abstractNumId w:val="4"/>
  </w:num>
  <w:num w:numId="60">
    <w:abstractNumId w:val="51"/>
  </w:num>
  <w:num w:numId="61">
    <w:abstractNumId w:val="33"/>
  </w:num>
  <w:num w:numId="62">
    <w:abstractNumId w:val="25"/>
  </w:num>
  <w:num w:numId="63">
    <w:abstractNumId w:val="39"/>
  </w:num>
  <w:num w:numId="64">
    <w:abstractNumId w:val="66"/>
  </w:num>
  <w:num w:numId="65">
    <w:abstractNumId w:val="59"/>
  </w:num>
  <w:num w:numId="66">
    <w:abstractNumId w:val="78"/>
  </w:num>
  <w:num w:numId="67">
    <w:abstractNumId w:val="3"/>
  </w:num>
  <w:num w:numId="68">
    <w:abstractNumId w:val="88"/>
  </w:num>
  <w:num w:numId="69">
    <w:abstractNumId w:val="79"/>
  </w:num>
  <w:num w:numId="70">
    <w:abstractNumId w:val="9"/>
  </w:num>
  <w:num w:numId="71">
    <w:abstractNumId w:val="77"/>
  </w:num>
  <w:num w:numId="72">
    <w:abstractNumId w:val="54"/>
  </w:num>
  <w:num w:numId="73">
    <w:abstractNumId w:val="6"/>
  </w:num>
  <w:num w:numId="74">
    <w:abstractNumId w:val="32"/>
  </w:num>
  <w:num w:numId="75">
    <w:abstractNumId w:val="56"/>
  </w:num>
  <w:num w:numId="76">
    <w:abstractNumId w:val="0"/>
  </w:num>
  <w:num w:numId="77">
    <w:abstractNumId w:val="18"/>
  </w:num>
  <w:num w:numId="78">
    <w:abstractNumId w:val="75"/>
  </w:num>
  <w:num w:numId="79">
    <w:abstractNumId w:val="1"/>
  </w:num>
  <w:num w:numId="8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"/>
  </w:num>
  <w:num w:numId="82">
    <w:abstractNumId w:val="14"/>
  </w:num>
  <w:num w:numId="83">
    <w:abstractNumId w:val="43"/>
  </w:num>
  <w:num w:numId="84">
    <w:abstractNumId w:val="69"/>
  </w:num>
  <w:num w:numId="85">
    <w:abstractNumId w:val="37"/>
  </w:num>
  <w:num w:numId="86">
    <w:abstractNumId w:val="12"/>
  </w:num>
  <w:num w:numId="87">
    <w:abstractNumId w:val="73"/>
  </w:num>
  <w:num w:numId="88">
    <w:abstractNumId w:val="36"/>
  </w:num>
  <w:num w:numId="89">
    <w:abstractNumId w:val="68"/>
  </w:num>
  <w:num w:numId="90">
    <w:abstractNumId w:val="87"/>
  </w:num>
  <w:num w:numId="91">
    <w:abstractNumId w:val="55"/>
  </w:num>
  <w:num w:numId="92">
    <w:abstractNumId w:val="40"/>
  </w:num>
  <w:num w:numId="93">
    <w:abstractNumId w:val="10"/>
  </w:num>
  <w:num w:numId="94">
    <w:abstractNumId w:val="45"/>
  </w:num>
  <w:num w:numId="95">
    <w:abstractNumId w:val="56"/>
  </w:num>
  <w:num w:numId="96">
    <w:abstractNumId w:val="56"/>
  </w:num>
  <w:num w:numId="97">
    <w:abstractNumId w:val="56"/>
  </w:num>
  <w:num w:numId="98">
    <w:abstractNumId w:val="29"/>
  </w:num>
  <w:num w:numId="99">
    <w:abstractNumId w:val="41"/>
  </w:num>
  <w:num w:numId="100">
    <w:abstractNumId w:val="38"/>
  </w:num>
  <w:num w:numId="101">
    <w:abstractNumId w:val="47"/>
  </w:num>
  <w:num w:numId="102">
    <w:abstractNumId w:val="74"/>
  </w:num>
  <w:num w:numId="103">
    <w:abstractNumId w:val="65"/>
  </w:num>
  <w:num w:numId="104">
    <w:abstractNumId w:val="11"/>
  </w:num>
  <w:num w:numId="105">
    <w:abstractNumId w:val="50"/>
  </w:num>
  <w:num w:numId="106">
    <w:abstractNumId w:val="2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TemplateVersion" w:val="February2010"/>
  </w:docVars>
  <w:rsids>
    <w:rsidRoot w:val="00C80C0C"/>
    <w:rsid w:val="00000419"/>
    <w:rsid w:val="0000306E"/>
    <w:rsid w:val="00004104"/>
    <w:rsid w:val="00005BA7"/>
    <w:rsid w:val="00007FB9"/>
    <w:rsid w:val="00010A50"/>
    <w:rsid w:val="00010DDF"/>
    <w:rsid w:val="00010EFF"/>
    <w:rsid w:val="000114D4"/>
    <w:rsid w:val="00011626"/>
    <w:rsid w:val="0001232C"/>
    <w:rsid w:val="000136DC"/>
    <w:rsid w:val="000155CC"/>
    <w:rsid w:val="00020242"/>
    <w:rsid w:val="00020300"/>
    <w:rsid w:val="000212B5"/>
    <w:rsid w:val="00023AE0"/>
    <w:rsid w:val="00024E97"/>
    <w:rsid w:val="000255F4"/>
    <w:rsid w:val="00026970"/>
    <w:rsid w:val="00027F9D"/>
    <w:rsid w:val="00030124"/>
    <w:rsid w:val="00033ACF"/>
    <w:rsid w:val="00041A0A"/>
    <w:rsid w:val="00041FF7"/>
    <w:rsid w:val="00042C55"/>
    <w:rsid w:val="0004430B"/>
    <w:rsid w:val="00046365"/>
    <w:rsid w:val="000509D9"/>
    <w:rsid w:val="00053689"/>
    <w:rsid w:val="00054056"/>
    <w:rsid w:val="0005471B"/>
    <w:rsid w:val="00055C4C"/>
    <w:rsid w:val="000617AD"/>
    <w:rsid w:val="00061EF1"/>
    <w:rsid w:val="000625C0"/>
    <w:rsid w:val="000649F1"/>
    <w:rsid w:val="000665FE"/>
    <w:rsid w:val="00073ABC"/>
    <w:rsid w:val="00073E98"/>
    <w:rsid w:val="00073FF8"/>
    <w:rsid w:val="00074E31"/>
    <w:rsid w:val="00077128"/>
    <w:rsid w:val="00080111"/>
    <w:rsid w:val="00084890"/>
    <w:rsid w:val="000855B9"/>
    <w:rsid w:val="000910D3"/>
    <w:rsid w:val="00094EDD"/>
    <w:rsid w:val="00095ED0"/>
    <w:rsid w:val="00095F96"/>
    <w:rsid w:val="00096984"/>
    <w:rsid w:val="000A02D3"/>
    <w:rsid w:val="000A5A21"/>
    <w:rsid w:val="000A72A5"/>
    <w:rsid w:val="000B1B06"/>
    <w:rsid w:val="000B1CCC"/>
    <w:rsid w:val="000B2CED"/>
    <w:rsid w:val="000B5D75"/>
    <w:rsid w:val="000B70F5"/>
    <w:rsid w:val="000C288B"/>
    <w:rsid w:val="000C484F"/>
    <w:rsid w:val="000C6986"/>
    <w:rsid w:val="000D0571"/>
    <w:rsid w:val="000D1381"/>
    <w:rsid w:val="000D177A"/>
    <w:rsid w:val="000D2B7A"/>
    <w:rsid w:val="000D3DE5"/>
    <w:rsid w:val="000E4C51"/>
    <w:rsid w:val="000E4E86"/>
    <w:rsid w:val="000E6043"/>
    <w:rsid w:val="000E683F"/>
    <w:rsid w:val="000E68AF"/>
    <w:rsid w:val="000E7A50"/>
    <w:rsid w:val="000F006B"/>
    <w:rsid w:val="000F166F"/>
    <w:rsid w:val="000F2A36"/>
    <w:rsid w:val="000F2A6A"/>
    <w:rsid w:val="000F53FA"/>
    <w:rsid w:val="000F5884"/>
    <w:rsid w:val="000F66FD"/>
    <w:rsid w:val="001001A9"/>
    <w:rsid w:val="00101185"/>
    <w:rsid w:val="00101B87"/>
    <w:rsid w:val="0010284D"/>
    <w:rsid w:val="00103F09"/>
    <w:rsid w:val="00104145"/>
    <w:rsid w:val="00104688"/>
    <w:rsid w:val="00104B19"/>
    <w:rsid w:val="00104D6D"/>
    <w:rsid w:val="00107064"/>
    <w:rsid w:val="00107CF3"/>
    <w:rsid w:val="001114E5"/>
    <w:rsid w:val="001134E2"/>
    <w:rsid w:val="001137E7"/>
    <w:rsid w:val="00114754"/>
    <w:rsid w:val="001159C9"/>
    <w:rsid w:val="00115A4A"/>
    <w:rsid w:val="00116610"/>
    <w:rsid w:val="00120B84"/>
    <w:rsid w:val="00121D17"/>
    <w:rsid w:val="001225CA"/>
    <w:rsid w:val="00124041"/>
    <w:rsid w:val="00125CD8"/>
    <w:rsid w:val="00125FDA"/>
    <w:rsid w:val="00126D82"/>
    <w:rsid w:val="00127A21"/>
    <w:rsid w:val="00130A18"/>
    <w:rsid w:val="00130DA8"/>
    <w:rsid w:val="00130F78"/>
    <w:rsid w:val="001329A4"/>
    <w:rsid w:val="001344FA"/>
    <w:rsid w:val="00136261"/>
    <w:rsid w:val="0013777B"/>
    <w:rsid w:val="00140D14"/>
    <w:rsid w:val="00141002"/>
    <w:rsid w:val="0014168D"/>
    <w:rsid w:val="001428FB"/>
    <w:rsid w:val="001437E4"/>
    <w:rsid w:val="001440BA"/>
    <w:rsid w:val="00144208"/>
    <w:rsid w:val="001452D6"/>
    <w:rsid w:val="00147E7C"/>
    <w:rsid w:val="00150B01"/>
    <w:rsid w:val="00151541"/>
    <w:rsid w:val="00152B70"/>
    <w:rsid w:val="00154F33"/>
    <w:rsid w:val="00155A4B"/>
    <w:rsid w:val="00155AC0"/>
    <w:rsid w:val="00155C89"/>
    <w:rsid w:val="0016118E"/>
    <w:rsid w:val="00161C0F"/>
    <w:rsid w:val="0016357B"/>
    <w:rsid w:val="00163613"/>
    <w:rsid w:val="00165BF0"/>
    <w:rsid w:val="00170E71"/>
    <w:rsid w:val="0017258C"/>
    <w:rsid w:val="00172652"/>
    <w:rsid w:val="00175CD1"/>
    <w:rsid w:val="00175DB8"/>
    <w:rsid w:val="0017699A"/>
    <w:rsid w:val="0018544B"/>
    <w:rsid w:val="001876D5"/>
    <w:rsid w:val="00190ACB"/>
    <w:rsid w:val="00190B33"/>
    <w:rsid w:val="00191C17"/>
    <w:rsid w:val="00191CD1"/>
    <w:rsid w:val="001937B4"/>
    <w:rsid w:val="00194FB9"/>
    <w:rsid w:val="001A1416"/>
    <w:rsid w:val="001A1995"/>
    <w:rsid w:val="001A5181"/>
    <w:rsid w:val="001A58EE"/>
    <w:rsid w:val="001A6696"/>
    <w:rsid w:val="001A69A1"/>
    <w:rsid w:val="001B0B35"/>
    <w:rsid w:val="001B3C8F"/>
    <w:rsid w:val="001B3DFB"/>
    <w:rsid w:val="001B4493"/>
    <w:rsid w:val="001B565A"/>
    <w:rsid w:val="001C0DDA"/>
    <w:rsid w:val="001C1704"/>
    <w:rsid w:val="001C26BD"/>
    <w:rsid w:val="001C2FB5"/>
    <w:rsid w:val="001C5E61"/>
    <w:rsid w:val="001C7041"/>
    <w:rsid w:val="001C74D6"/>
    <w:rsid w:val="001C7F27"/>
    <w:rsid w:val="001D03DF"/>
    <w:rsid w:val="001D1345"/>
    <w:rsid w:val="001D1E37"/>
    <w:rsid w:val="001D2166"/>
    <w:rsid w:val="001D3732"/>
    <w:rsid w:val="001D3975"/>
    <w:rsid w:val="001D41A1"/>
    <w:rsid w:val="001D492B"/>
    <w:rsid w:val="001D5CA1"/>
    <w:rsid w:val="001E179F"/>
    <w:rsid w:val="001E26AF"/>
    <w:rsid w:val="001E380C"/>
    <w:rsid w:val="001E4B48"/>
    <w:rsid w:val="001E5425"/>
    <w:rsid w:val="001E5734"/>
    <w:rsid w:val="001E5AF3"/>
    <w:rsid w:val="001E6212"/>
    <w:rsid w:val="001E69AB"/>
    <w:rsid w:val="001E6D1D"/>
    <w:rsid w:val="001E6F13"/>
    <w:rsid w:val="001E7859"/>
    <w:rsid w:val="001E7F6A"/>
    <w:rsid w:val="001F0B52"/>
    <w:rsid w:val="001F1140"/>
    <w:rsid w:val="001F28C1"/>
    <w:rsid w:val="001F29CF"/>
    <w:rsid w:val="001F2BCE"/>
    <w:rsid w:val="001F2CFF"/>
    <w:rsid w:val="001F4476"/>
    <w:rsid w:val="001F5B50"/>
    <w:rsid w:val="002001C0"/>
    <w:rsid w:val="002033D4"/>
    <w:rsid w:val="00206017"/>
    <w:rsid w:val="00206E47"/>
    <w:rsid w:val="00211E6B"/>
    <w:rsid w:val="0021314E"/>
    <w:rsid w:val="002134B2"/>
    <w:rsid w:val="0021571D"/>
    <w:rsid w:val="002158F3"/>
    <w:rsid w:val="002201C7"/>
    <w:rsid w:val="00220DF4"/>
    <w:rsid w:val="00221B07"/>
    <w:rsid w:val="002244D8"/>
    <w:rsid w:val="002255FE"/>
    <w:rsid w:val="00226989"/>
    <w:rsid w:val="00227634"/>
    <w:rsid w:val="0022778D"/>
    <w:rsid w:val="00230188"/>
    <w:rsid w:val="002304F4"/>
    <w:rsid w:val="00230647"/>
    <w:rsid w:val="0023409C"/>
    <w:rsid w:val="00235812"/>
    <w:rsid w:val="002358A5"/>
    <w:rsid w:val="00236564"/>
    <w:rsid w:val="00236984"/>
    <w:rsid w:val="002371AC"/>
    <w:rsid w:val="00240012"/>
    <w:rsid w:val="002400C9"/>
    <w:rsid w:val="00241346"/>
    <w:rsid w:val="002432DD"/>
    <w:rsid w:val="0024390A"/>
    <w:rsid w:val="00245403"/>
    <w:rsid w:val="00246488"/>
    <w:rsid w:val="002464ED"/>
    <w:rsid w:val="0025119D"/>
    <w:rsid w:val="002511EF"/>
    <w:rsid w:val="00253F46"/>
    <w:rsid w:val="00256665"/>
    <w:rsid w:val="002574F0"/>
    <w:rsid w:val="00257963"/>
    <w:rsid w:val="00257F8C"/>
    <w:rsid w:val="0026003D"/>
    <w:rsid w:val="00261E3F"/>
    <w:rsid w:val="00263157"/>
    <w:rsid w:val="002642A0"/>
    <w:rsid w:val="0026451C"/>
    <w:rsid w:val="00264F62"/>
    <w:rsid w:val="00266D01"/>
    <w:rsid w:val="002675EF"/>
    <w:rsid w:val="00267C9F"/>
    <w:rsid w:val="002705E4"/>
    <w:rsid w:val="00270EA5"/>
    <w:rsid w:val="00272087"/>
    <w:rsid w:val="00272E17"/>
    <w:rsid w:val="00276134"/>
    <w:rsid w:val="002769DE"/>
    <w:rsid w:val="00276C22"/>
    <w:rsid w:val="00284CF3"/>
    <w:rsid w:val="002869A6"/>
    <w:rsid w:val="00291487"/>
    <w:rsid w:val="002928A8"/>
    <w:rsid w:val="00292A4E"/>
    <w:rsid w:val="00292E30"/>
    <w:rsid w:val="00293178"/>
    <w:rsid w:val="002A01F8"/>
    <w:rsid w:val="002A41CD"/>
    <w:rsid w:val="002A43CE"/>
    <w:rsid w:val="002A6D40"/>
    <w:rsid w:val="002A754D"/>
    <w:rsid w:val="002A7609"/>
    <w:rsid w:val="002B19F6"/>
    <w:rsid w:val="002B2D40"/>
    <w:rsid w:val="002B2E87"/>
    <w:rsid w:val="002B4EA7"/>
    <w:rsid w:val="002B5EDF"/>
    <w:rsid w:val="002B7313"/>
    <w:rsid w:val="002C1210"/>
    <w:rsid w:val="002C22EA"/>
    <w:rsid w:val="002C2D7E"/>
    <w:rsid w:val="002C2FA3"/>
    <w:rsid w:val="002C3CE2"/>
    <w:rsid w:val="002C4753"/>
    <w:rsid w:val="002C5FD1"/>
    <w:rsid w:val="002C66E2"/>
    <w:rsid w:val="002D0128"/>
    <w:rsid w:val="002D1622"/>
    <w:rsid w:val="002D2830"/>
    <w:rsid w:val="002D61C6"/>
    <w:rsid w:val="002D6CCD"/>
    <w:rsid w:val="002D7502"/>
    <w:rsid w:val="002E5578"/>
    <w:rsid w:val="002E5687"/>
    <w:rsid w:val="002E5D76"/>
    <w:rsid w:val="002E5EED"/>
    <w:rsid w:val="002E6B5C"/>
    <w:rsid w:val="002E7700"/>
    <w:rsid w:val="002E7ADC"/>
    <w:rsid w:val="002F0A5D"/>
    <w:rsid w:val="002F3B6E"/>
    <w:rsid w:val="002F469B"/>
    <w:rsid w:val="002F4A5B"/>
    <w:rsid w:val="00300653"/>
    <w:rsid w:val="00302A5F"/>
    <w:rsid w:val="0030515E"/>
    <w:rsid w:val="00306E0A"/>
    <w:rsid w:val="00307A4C"/>
    <w:rsid w:val="00310448"/>
    <w:rsid w:val="003104D6"/>
    <w:rsid w:val="003121B7"/>
    <w:rsid w:val="00314FC1"/>
    <w:rsid w:val="00315B7F"/>
    <w:rsid w:val="00317857"/>
    <w:rsid w:val="00317AAE"/>
    <w:rsid w:val="0032074F"/>
    <w:rsid w:val="003221CF"/>
    <w:rsid w:val="00324E9B"/>
    <w:rsid w:val="003261C5"/>
    <w:rsid w:val="00326244"/>
    <w:rsid w:val="00326266"/>
    <w:rsid w:val="0032634A"/>
    <w:rsid w:val="003306A4"/>
    <w:rsid w:val="00331D6B"/>
    <w:rsid w:val="0033275E"/>
    <w:rsid w:val="0033278C"/>
    <w:rsid w:val="0033473B"/>
    <w:rsid w:val="00335233"/>
    <w:rsid w:val="00335BE3"/>
    <w:rsid w:val="003367E4"/>
    <w:rsid w:val="00341068"/>
    <w:rsid w:val="00344EAA"/>
    <w:rsid w:val="003458C7"/>
    <w:rsid w:val="00346443"/>
    <w:rsid w:val="00346520"/>
    <w:rsid w:val="00351187"/>
    <w:rsid w:val="00351870"/>
    <w:rsid w:val="0035231E"/>
    <w:rsid w:val="00352586"/>
    <w:rsid w:val="003544C9"/>
    <w:rsid w:val="003563B1"/>
    <w:rsid w:val="00357F87"/>
    <w:rsid w:val="0036066F"/>
    <w:rsid w:val="00361352"/>
    <w:rsid w:val="003626FC"/>
    <w:rsid w:val="003631F9"/>
    <w:rsid w:val="00364312"/>
    <w:rsid w:val="00364AC8"/>
    <w:rsid w:val="00365C3A"/>
    <w:rsid w:val="0037057D"/>
    <w:rsid w:val="003711B1"/>
    <w:rsid w:val="003722A5"/>
    <w:rsid w:val="00372587"/>
    <w:rsid w:val="0037308C"/>
    <w:rsid w:val="00374384"/>
    <w:rsid w:val="00374AFB"/>
    <w:rsid w:val="003768AF"/>
    <w:rsid w:val="0038224A"/>
    <w:rsid w:val="003825DB"/>
    <w:rsid w:val="0038383F"/>
    <w:rsid w:val="00386771"/>
    <w:rsid w:val="00394B51"/>
    <w:rsid w:val="00395064"/>
    <w:rsid w:val="00395133"/>
    <w:rsid w:val="003960DB"/>
    <w:rsid w:val="00396528"/>
    <w:rsid w:val="003A0CE8"/>
    <w:rsid w:val="003A261B"/>
    <w:rsid w:val="003A2C05"/>
    <w:rsid w:val="003A2CA5"/>
    <w:rsid w:val="003A3069"/>
    <w:rsid w:val="003A41D4"/>
    <w:rsid w:val="003A57F9"/>
    <w:rsid w:val="003A5F0A"/>
    <w:rsid w:val="003A7A4E"/>
    <w:rsid w:val="003B0EEB"/>
    <w:rsid w:val="003B35D6"/>
    <w:rsid w:val="003B57FD"/>
    <w:rsid w:val="003B5937"/>
    <w:rsid w:val="003B5EE9"/>
    <w:rsid w:val="003C077C"/>
    <w:rsid w:val="003C189C"/>
    <w:rsid w:val="003C19F6"/>
    <w:rsid w:val="003C1ABE"/>
    <w:rsid w:val="003C2D6D"/>
    <w:rsid w:val="003C7DFE"/>
    <w:rsid w:val="003D147D"/>
    <w:rsid w:val="003D2280"/>
    <w:rsid w:val="003D4085"/>
    <w:rsid w:val="003D46A1"/>
    <w:rsid w:val="003D5D68"/>
    <w:rsid w:val="003D62F2"/>
    <w:rsid w:val="003D72C5"/>
    <w:rsid w:val="003E16D0"/>
    <w:rsid w:val="003E2F1E"/>
    <w:rsid w:val="003E73A6"/>
    <w:rsid w:val="003E7ABC"/>
    <w:rsid w:val="003F18A7"/>
    <w:rsid w:val="003F3F2F"/>
    <w:rsid w:val="003F5376"/>
    <w:rsid w:val="003F55E5"/>
    <w:rsid w:val="003F6084"/>
    <w:rsid w:val="003F7A55"/>
    <w:rsid w:val="00402762"/>
    <w:rsid w:val="00403022"/>
    <w:rsid w:val="004037B9"/>
    <w:rsid w:val="0040390B"/>
    <w:rsid w:val="00403FA1"/>
    <w:rsid w:val="0040540B"/>
    <w:rsid w:val="004060D0"/>
    <w:rsid w:val="00407A41"/>
    <w:rsid w:val="00407B18"/>
    <w:rsid w:val="00407B7C"/>
    <w:rsid w:val="00424B45"/>
    <w:rsid w:val="00425DC6"/>
    <w:rsid w:val="004261EA"/>
    <w:rsid w:val="00427137"/>
    <w:rsid w:val="004278E6"/>
    <w:rsid w:val="004304AE"/>
    <w:rsid w:val="00430DF5"/>
    <w:rsid w:val="00440383"/>
    <w:rsid w:val="00440E97"/>
    <w:rsid w:val="0044476C"/>
    <w:rsid w:val="00445287"/>
    <w:rsid w:val="00450D3C"/>
    <w:rsid w:val="004511E8"/>
    <w:rsid w:val="00456AA9"/>
    <w:rsid w:val="004572F1"/>
    <w:rsid w:val="00457403"/>
    <w:rsid w:val="00460E2B"/>
    <w:rsid w:val="00464264"/>
    <w:rsid w:val="00465986"/>
    <w:rsid w:val="00467431"/>
    <w:rsid w:val="004720B6"/>
    <w:rsid w:val="00473890"/>
    <w:rsid w:val="00474E86"/>
    <w:rsid w:val="0047550B"/>
    <w:rsid w:val="00475514"/>
    <w:rsid w:val="00476827"/>
    <w:rsid w:val="0047704B"/>
    <w:rsid w:val="0048077D"/>
    <w:rsid w:val="00480944"/>
    <w:rsid w:val="00480C20"/>
    <w:rsid w:val="00480EDB"/>
    <w:rsid w:val="00483DD5"/>
    <w:rsid w:val="004858DA"/>
    <w:rsid w:val="00485C9F"/>
    <w:rsid w:val="00485E16"/>
    <w:rsid w:val="0048633C"/>
    <w:rsid w:val="00487073"/>
    <w:rsid w:val="00491CBF"/>
    <w:rsid w:val="004929A2"/>
    <w:rsid w:val="004945BE"/>
    <w:rsid w:val="004961D6"/>
    <w:rsid w:val="00496799"/>
    <w:rsid w:val="00497515"/>
    <w:rsid w:val="00497F97"/>
    <w:rsid w:val="004A17C9"/>
    <w:rsid w:val="004A1C5D"/>
    <w:rsid w:val="004A35F1"/>
    <w:rsid w:val="004A5228"/>
    <w:rsid w:val="004A5790"/>
    <w:rsid w:val="004A57EC"/>
    <w:rsid w:val="004A6448"/>
    <w:rsid w:val="004B0321"/>
    <w:rsid w:val="004B18CA"/>
    <w:rsid w:val="004B1957"/>
    <w:rsid w:val="004B4A7C"/>
    <w:rsid w:val="004B5CFF"/>
    <w:rsid w:val="004B6C73"/>
    <w:rsid w:val="004B76E2"/>
    <w:rsid w:val="004C169C"/>
    <w:rsid w:val="004C1D76"/>
    <w:rsid w:val="004C2379"/>
    <w:rsid w:val="004C2F2D"/>
    <w:rsid w:val="004C59F0"/>
    <w:rsid w:val="004C60C5"/>
    <w:rsid w:val="004D159C"/>
    <w:rsid w:val="004D4C26"/>
    <w:rsid w:val="004D51CA"/>
    <w:rsid w:val="004E0AAD"/>
    <w:rsid w:val="004E1076"/>
    <w:rsid w:val="004E42D9"/>
    <w:rsid w:val="004E4BBD"/>
    <w:rsid w:val="004E4BD3"/>
    <w:rsid w:val="004F0CBF"/>
    <w:rsid w:val="004F15D4"/>
    <w:rsid w:val="004F3CFC"/>
    <w:rsid w:val="004F55CA"/>
    <w:rsid w:val="004F56AC"/>
    <w:rsid w:val="004F7210"/>
    <w:rsid w:val="004F7874"/>
    <w:rsid w:val="00500011"/>
    <w:rsid w:val="005015A0"/>
    <w:rsid w:val="00502493"/>
    <w:rsid w:val="00503992"/>
    <w:rsid w:val="0050547A"/>
    <w:rsid w:val="00505853"/>
    <w:rsid w:val="00505A31"/>
    <w:rsid w:val="00505E21"/>
    <w:rsid w:val="00506C27"/>
    <w:rsid w:val="0051133F"/>
    <w:rsid w:val="00515167"/>
    <w:rsid w:val="0051733C"/>
    <w:rsid w:val="00517CD2"/>
    <w:rsid w:val="00530762"/>
    <w:rsid w:val="005318B4"/>
    <w:rsid w:val="005346F1"/>
    <w:rsid w:val="005350FE"/>
    <w:rsid w:val="00535E73"/>
    <w:rsid w:val="005374F7"/>
    <w:rsid w:val="00537693"/>
    <w:rsid w:val="00540659"/>
    <w:rsid w:val="005408AC"/>
    <w:rsid w:val="00541398"/>
    <w:rsid w:val="0054226E"/>
    <w:rsid w:val="00542C1F"/>
    <w:rsid w:val="00544E45"/>
    <w:rsid w:val="00545E86"/>
    <w:rsid w:val="00546B43"/>
    <w:rsid w:val="00547182"/>
    <w:rsid w:val="005479F3"/>
    <w:rsid w:val="00547B66"/>
    <w:rsid w:val="0055034F"/>
    <w:rsid w:val="00553713"/>
    <w:rsid w:val="005542F6"/>
    <w:rsid w:val="00554B2E"/>
    <w:rsid w:val="00555E20"/>
    <w:rsid w:val="00557906"/>
    <w:rsid w:val="00557F04"/>
    <w:rsid w:val="00560551"/>
    <w:rsid w:val="00560661"/>
    <w:rsid w:val="005612EA"/>
    <w:rsid w:val="005620C2"/>
    <w:rsid w:val="005626D5"/>
    <w:rsid w:val="00562920"/>
    <w:rsid w:val="00564FB5"/>
    <w:rsid w:val="005663F2"/>
    <w:rsid w:val="005676FD"/>
    <w:rsid w:val="00567FAD"/>
    <w:rsid w:val="00570CC5"/>
    <w:rsid w:val="005727E2"/>
    <w:rsid w:val="005737AC"/>
    <w:rsid w:val="00574687"/>
    <w:rsid w:val="00574DFA"/>
    <w:rsid w:val="00574E06"/>
    <w:rsid w:val="00575622"/>
    <w:rsid w:val="00576A5C"/>
    <w:rsid w:val="005804ED"/>
    <w:rsid w:val="00580DA8"/>
    <w:rsid w:val="0058328D"/>
    <w:rsid w:val="005837A4"/>
    <w:rsid w:val="0058467E"/>
    <w:rsid w:val="00585874"/>
    <w:rsid w:val="005858C5"/>
    <w:rsid w:val="005909AB"/>
    <w:rsid w:val="00591B76"/>
    <w:rsid w:val="00591BA9"/>
    <w:rsid w:val="00591F7C"/>
    <w:rsid w:val="00593214"/>
    <w:rsid w:val="00593346"/>
    <w:rsid w:val="00594595"/>
    <w:rsid w:val="005952A3"/>
    <w:rsid w:val="00595776"/>
    <w:rsid w:val="005A229F"/>
    <w:rsid w:val="005A33EC"/>
    <w:rsid w:val="005B1F74"/>
    <w:rsid w:val="005B26F2"/>
    <w:rsid w:val="005B3D9F"/>
    <w:rsid w:val="005B3F99"/>
    <w:rsid w:val="005B632E"/>
    <w:rsid w:val="005B6350"/>
    <w:rsid w:val="005B6B08"/>
    <w:rsid w:val="005C12EA"/>
    <w:rsid w:val="005C2868"/>
    <w:rsid w:val="005C2C78"/>
    <w:rsid w:val="005C3185"/>
    <w:rsid w:val="005C3D64"/>
    <w:rsid w:val="005C4B0C"/>
    <w:rsid w:val="005C5104"/>
    <w:rsid w:val="005C759B"/>
    <w:rsid w:val="005C78B9"/>
    <w:rsid w:val="005C7BD5"/>
    <w:rsid w:val="005D185E"/>
    <w:rsid w:val="005D4598"/>
    <w:rsid w:val="005D54B5"/>
    <w:rsid w:val="005D6899"/>
    <w:rsid w:val="005D7A5A"/>
    <w:rsid w:val="005E053A"/>
    <w:rsid w:val="005E1392"/>
    <w:rsid w:val="005E18C1"/>
    <w:rsid w:val="005E3C92"/>
    <w:rsid w:val="005E5AA7"/>
    <w:rsid w:val="005E5BD7"/>
    <w:rsid w:val="005F06FE"/>
    <w:rsid w:val="005F2313"/>
    <w:rsid w:val="005F2596"/>
    <w:rsid w:val="005F3FF7"/>
    <w:rsid w:val="005F471C"/>
    <w:rsid w:val="005F6C97"/>
    <w:rsid w:val="00600751"/>
    <w:rsid w:val="0060204A"/>
    <w:rsid w:val="0060354F"/>
    <w:rsid w:val="006044FF"/>
    <w:rsid w:val="00604FFB"/>
    <w:rsid w:val="006052E1"/>
    <w:rsid w:val="006060FB"/>
    <w:rsid w:val="00606B64"/>
    <w:rsid w:val="00607695"/>
    <w:rsid w:val="00607BDB"/>
    <w:rsid w:val="006110A9"/>
    <w:rsid w:val="00614F68"/>
    <w:rsid w:val="00616582"/>
    <w:rsid w:val="00617FEA"/>
    <w:rsid w:val="006248DC"/>
    <w:rsid w:val="006303E9"/>
    <w:rsid w:val="00631120"/>
    <w:rsid w:val="00631813"/>
    <w:rsid w:val="0063181B"/>
    <w:rsid w:val="006334A6"/>
    <w:rsid w:val="00634171"/>
    <w:rsid w:val="006367D7"/>
    <w:rsid w:val="00636CA9"/>
    <w:rsid w:val="006401EC"/>
    <w:rsid w:val="0064384C"/>
    <w:rsid w:val="006453FB"/>
    <w:rsid w:val="00645C11"/>
    <w:rsid w:val="0064782C"/>
    <w:rsid w:val="0064791B"/>
    <w:rsid w:val="00647D28"/>
    <w:rsid w:val="00647D2C"/>
    <w:rsid w:val="00651076"/>
    <w:rsid w:val="00651D58"/>
    <w:rsid w:val="00654BCA"/>
    <w:rsid w:val="0065535F"/>
    <w:rsid w:val="00655DC0"/>
    <w:rsid w:val="00656F0C"/>
    <w:rsid w:val="00657A78"/>
    <w:rsid w:val="00661E85"/>
    <w:rsid w:val="006635E6"/>
    <w:rsid w:val="00665B5C"/>
    <w:rsid w:val="00666C23"/>
    <w:rsid w:val="006700A6"/>
    <w:rsid w:val="00671761"/>
    <w:rsid w:val="00675017"/>
    <w:rsid w:val="00675D2A"/>
    <w:rsid w:val="00676207"/>
    <w:rsid w:val="00677597"/>
    <w:rsid w:val="00680006"/>
    <w:rsid w:val="0068117B"/>
    <w:rsid w:val="006816C1"/>
    <w:rsid w:val="0068239C"/>
    <w:rsid w:val="006824F8"/>
    <w:rsid w:val="0068286A"/>
    <w:rsid w:val="00682974"/>
    <w:rsid w:val="0068444E"/>
    <w:rsid w:val="00684E8E"/>
    <w:rsid w:val="00685558"/>
    <w:rsid w:val="00686242"/>
    <w:rsid w:val="00686BD2"/>
    <w:rsid w:val="00686D63"/>
    <w:rsid w:val="00690FA5"/>
    <w:rsid w:val="00691096"/>
    <w:rsid w:val="0069367B"/>
    <w:rsid w:val="00694FED"/>
    <w:rsid w:val="00695462"/>
    <w:rsid w:val="006956F9"/>
    <w:rsid w:val="00695700"/>
    <w:rsid w:val="006A1AB2"/>
    <w:rsid w:val="006A348D"/>
    <w:rsid w:val="006A46DE"/>
    <w:rsid w:val="006A592E"/>
    <w:rsid w:val="006A7EDE"/>
    <w:rsid w:val="006B3A3A"/>
    <w:rsid w:val="006B4486"/>
    <w:rsid w:val="006B5056"/>
    <w:rsid w:val="006B6391"/>
    <w:rsid w:val="006B7B5A"/>
    <w:rsid w:val="006B7B84"/>
    <w:rsid w:val="006C2000"/>
    <w:rsid w:val="006C3931"/>
    <w:rsid w:val="006C41DB"/>
    <w:rsid w:val="006C70B4"/>
    <w:rsid w:val="006C77AE"/>
    <w:rsid w:val="006D103F"/>
    <w:rsid w:val="006D28CD"/>
    <w:rsid w:val="006D3230"/>
    <w:rsid w:val="006D3EA8"/>
    <w:rsid w:val="006E1782"/>
    <w:rsid w:val="006E1E59"/>
    <w:rsid w:val="006E2F98"/>
    <w:rsid w:val="006E39C6"/>
    <w:rsid w:val="006E3C82"/>
    <w:rsid w:val="006E5872"/>
    <w:rsid w:val="006E6B6A"/>
    <w:rsid w:val="006E7D0C"/>
    <w:rsid w:val="006F15AD"/>
    <w:rsid w:val="006F37BD"/>
    <w:rsid w:val="006F3829"/>
    <w:rsid w:val="006F7009"/>
    <w:rsid w:val="00701222"/>
    <w:rsid w:val="00701B00"/>
    <w:rsid w:val="007046ED"/>
    <w:rsid w:val="00705597"/>
    <w:rsid w:val="00706AA5"/>
    <w:rsid w:val="00706F77"/>
    <w:rsid w:val="00707193"/>
    <w:rsid w:val="00707F6D"/>
    <w:rsid w:val="00710463"/>
    <w:rsid w:val="0071072B"/>
    <w:rsid w:val="0071263B"/>
    <w:rsid w:val="00713D10"/>
    <w:rsid w:val="007145B5"/>
    <w:rsid w:val="007179CA"/>
    <w:rsid w:val="0072036F"/>
    <w:rsid w:val="00720F3C"/>
    <w:rsid w:val="00722D14"/>
    <w:rsid w:val="00722F4D"/>
    <w:rsid w:val="007238B5"/>
    <w:rsid w:val="00726D19"/>
    <w:rsid w:val="00727FB2"/>
    <w:rsid w:val="0073196E"/>
    <w:rsid w:val="00731A53"/>
    <w:rsid w:val="007320BD"/>
    <w:rsid w:val="007338C8"/>
    <w:rsid w:val="00733B35"/>
    <w:rsid w:val="00741D4F"/>
    <w:rsid w:val="007439CC"/>
    <w:rsid w:val="0074506C"/>
    <w:rsid w:val="00746F7C"/>
    <w:rsid w:val="00747A5C"/>
    <w:rsid w:val="00747D98"/>
    <w:rsid w:val="00755182"/>
    <w:rsid w:val="00756897"/>
    <w:rsid w:val="00760A5F"/>
    <w:rsid w:val="00763505"/>
    <w:rsid w:val="007643B4"/>
    <w:rsid w:val="00764442"/>
    <w:rsid w:val="00764DF7"/>
    <w:rsid w:val="00765A0C"/>
    <w:rsid w:val="007710D1"/>
    <w:rsid w:val="007710DA"/>
    <w:rsid w:val="0077289C"/>
    <w:rsid w:val="0077435C"/>
    <w:rsid w:val="00775491"/>
    <w:rsid w:val="007772B2"/>
    <w:rsid w:val="007832B1"/>
    <w:rsid w:val="00784282"/>
    <w:rsid w:val="0078472A"/>
    <w:rsid w:val="00784A4F"/>
    <w:rsid w:val="00784B66"/>
    <w:rsid w:val="00787AFB"/>
    <w:rsid w:val="00791CD8"/>
    <w:rsid w:val="00796BF6"/>
    <w:rsid w:val="00797521"/>
    <w:rsid w:val="007A0197"/>
    <w:rsid w:val="007A05E4"/>
    <w:rsid w:val="007A0F1F"/>
    <w:rsid w:val="007A2DA4"/>
    <w:rsid w:val="007A3DC2"/>
    <w:rsid w:val="007A5747"/>
    <w:rsid w:val="007A67E8"/>
    <w:rsid w:val="007A6B96"/>
    <w:rsid w:val="007A7132"/>
    <w:rsid w:val="007A7443"/>
    <w:rsid w:val="007B0C86"/>
    <w:rsid w:val="007B11E6"/>
    <w:rsid w:val="007B165A"/>
    <w:rsid w:val="007B383E"/>
    <w:rsid w:val="007B6E51"/>
    <w:rsid w:val="007C059B"/>
    <w:rsid w:val="007C0D67"/>
    <w:rsid w:val="007C1F90"/>
    <w:rsid w:val="007C2622"/>
    <w:rsid w:val="007C3A22"/>
    <w:rsid w:val="007C48E9"/>
    <w:rsid w:val="007C6D3F"/>
    <w:rsid w:val="007C7A16"/>
    <w:rsid w:val="007D00C8"/>
    <w:rsid w:val="007D0220"/>
    <w:rsid w:val="007D060C"/>
    <w:rsid w:val="007D117F"/>
    <w:rsid w:val="007D3EDA"/>
    <w:rsid w:val="007D57D7"/>
    <w:rsid w:val="007D668D"/>
    <w:rsid w:val="007D66DD"/>
    <w:rsid w:val="007D7D68"/>
    <w:rsid w:val="007E1861"/>
    <w:rsid w:val="007E240B"/>
    <w:rsid w:val="007E3F17"/>
    <w:rsid w:val="007E58EE"/>
    <w:rsid w:val="007E5D9B"/>
    <w:rsid w:val="007E6388"/>
    <w:rsid w:val="007F3339"/>
    <w:rsid w:val="007F494B"/>
    <w:rsid w:val="007F4C68"/>
    <w:rsid w:val="007F4EF7"/>
    <w:rsid w:val="007F5292"/>
    <w:rsid w:val="007F70E5"/>
    <w:rsid w:val="008011B2"/>
    <w:rsid w:val="00801794"/>
    <w:rsid w:val="00801EB4"/>
    <w:rsid w:val="00803E5E"/>
    <w:rsid w:val="00804BBA"/>
    <w:rsid w:val="00811BDF"/>
    <w:rsid w:val="00812228"/>
    <w:rsid w:val="00812800"/>
    <w:rsid w:val="008157E9"/>
    <w:rsid w:val="00815FC5"/>
    <w:rsid w:val="00815FC6"/>
    <w:rsid w:val="008172BF"/>
    <w:rsid w:val="00820343"/>
    <w:rsid w:val="00820E72"/>
    <w:rsid w:val="008212DB"/>
    <w:rsid w:val="00822FEC"/>
    <w:rsid w:val="00823735"/>
    <w:rsid w:val="008260D7"/>
    <w:rsid w:val="00826C24"/>
    <w:rsid w:val="00827358"/>
    <w:rsid w:val="00830BB6"/>
    <w:rsid w:val="00835590"/>
    <w:rsid w:val="0083593C"/>
    <w:rsid w:val="00836039"/>
    <w:rsid w:val="008364C8"/>
    <w:rsid w:val="00836F5E"/>
    <w:rsid w:val="008370D3"/>
    <w:rsid w:val="00837292"/>
    <w:rsid w:val="00837606"/>
    <w:rsid w:val="00840A37"/>
    <w:rsid w:val="00841636"/>
    <w:rsid w:val="0084326C"/>
    <w:rsid w:val="008432F0"/>
    <w:rsid w:val="00846862"/>
    <w:rsid w:val="0084708C"/>
    <w:rsid w:val="00847924"/>
    <w:rsid w:val="00847A4A"/>
    <w:rsid w:val="00852E37"/>
    <w:rsid w:val="008542E6"/>
    <w:rsid w:val="00860187"/>
    <w:rsid w:val="00861002"/>
    <w:rsid w:val="0086144C"/>
    <w:rsid w:val="008623E8"/>
    <w:rsid w:val="00862785"/>
    <w:rsid w:val="00862D80"/>
    <w:rsid w:val="00865496"/>
    <w:rsid w:val="00866B33"/>
    <w:rsid w:val="0086753C"/>
    <w:rsid w:val="00873BB9"/>
    <w:rsid w:val="00873BF1"/>
    <w:rsid w:val="008765D7"/>
    <w:rsid w:val="00876C44"/>
    <w:rsid w:val="0087765A"/>
    <w:rsid w:val="008812E4"/>
    <w:rsid w:val="00883505"/>
    <w:rsid w:val="008840AE"/>
    <w:rsid w:val="0088575B"/>
    <w:rsid w:val="00891993"/>
    <w:rsid w:val="00892EE8"/>
    <w:rsid w:val="00893535"/>
    <w:rsid w:val="00893625"/>
    <w:rsid w:val="00893989"/>
    <w:rsid w:val="0089423A"/>
    <w:rsid w:val="00897728"/>
    <w:rsid w:val="008A015B"/>
    <w:rsid w:val="008A1257"/>
    <w:rsid w:val="008A1529"/>
    <w:rsid w:val="008A42F3"/>
    <w:rsid w:val="008A4E37"/>
    <w:rsid w:val="008A510A"/>
    <w:rsid w:val="008A533E"/>
    <w:rsid w:val="008A5463"/>
    <w:rsid w:val="008B0395"/>
    <w:rsid w:val="008B0738"/>
    <w:rsid w:val="008B22C6"/>
    <w:rsid w:val="008B273E"/>
    <w:rsid w:val="008B542D"/>
    <w:rsid w:val="008B5CAE"/>
    <w:rsid w:val="008B72BC"/>
    <w:rsid w:val="008C12DA"/>
    <w:rsid w:val="008C35C9"/>
    <w:rsid w:val="008C3F02"/>
    <w:rsid w:val="008C5129"/>
    <w:rsid w:val="008C75A2"/>
    <w:rsid w:val="008C788E"/>
    <w:rsid w:val="008D0041"/>
    <w:rsid w:val="008D375B"/>
    <w:rsid w:val="008D3E4A"/>
    <w:rsid w:val="008D43E3"/>
    <w:rsid w:val="008D46C8"/>
    <w:rsid w:val="008D616F"/>
    <w:rsid w:val="008D6DE3"/>
    <w:rsid w:val="008E13B0"/>
    <w:rsid w:val="008E19B4"/>
    <w:rsid w:val="008E1AF4"/>
    <w:rsid w:val="008E6226"/>
    <w:rsid w:val="008E6715"/>
    <w:rsid w:val="008E7444"/>
    <w:rsid w:val="008F1884"/>
    <w:rsid w:val="008F1BEB"/>
    <w:rsid w:val="008F3586"/>
    <w:rsid w:val="008F3DBA"/>
    <w:rsid w:val="008F53B7"/>
    <w:rsid w:val="008F7060"/>
    <w:rsid w:val="00901E1A"/>
    <w:rsid w:val="00903161"/>
    <w:rsid w:val="00903648"/>
    <w:rsid w:val="00903D7E"/>
    <w:rsid w:val="00904395"/>
    <w:rsid w:val="00905EC9"/>
    <w:rsid w:val="00906EB3"/>
    <w:rsid w:val="009108C7"/>
    <w:rsid w:val="00915829"/>
    <w:rsid w:val="00915B9B"/>
    <w:rsid w:val="00916E69"/>
    <w:rsid w:val="00917071"/>
    <w:rsid w:val="00917DA8"/>
    <w:rsid w:val="009212A4"/>
    <w:rsid w:val="00922CD1"/>
    <w:rsid w:val="009250B1"/>
    <w:rsid w:val="00930C05"/>
    <w:rsid w:val="00931BF7"/>
    <w:rsid w:val="00935201"/>
    <w:rsid w:val="009360C4"/>
    <w:rsid w:val="00936869"/>
    <w:rsid w:val="00937A83"/>
    <w:rsid w:val="00940958"/>
    <w:rsid w:val="00945EE2"/>
    <w:rsid w:val="009473E5"/>
    <w:rsid w:val="009508C1"/>
    <w:rsid w:val="00950E00"/>
    <w:rsid w:val="009532AA"/>
    <w:rsid w:val="0095330D"/>
    <w:rsid w:val="009538C2"/>
    <w:rsid w:val="00954B75"/>
    <w:rsid w:val="00954BC8"/>
    <w:rsid w:val="00955CE6"/>
    <w:rsid w:val="009564A5"/>
    <w:rsid w:val="009564D7"/>
    <w:rsid w:val="00957841"/>
    <w:rsid w:val="00957853"/>
    <w:rsid w:val="00957A20"/>
    <w:rsid w:val="009612A9"/>
    <w:rsid w:val="0096140E"/>
    <w:rsid w:val="00963348"/>
    <w:rsid w:val="009639F0"/>
    <w:rsid w:val="00963F35"/>
    <w:rsid w:val="009663A3"/>
    <w:rsid w:val="0096723B"/>
    <w:rsid w:val="009708CA"/>
    <w:rsid w:val="00970CA2"/>
    <w:rsid w:val="00971CA6"/>
    <w:rsid w:val="00972448"/>
    <w:rsid w:val="00972FBB"/>
    <w:rsid w:val="00973AF8"/>
    <w:rsid w:val="009758B4"/>
    <w:rsid w:val="009817EC"/>
    <w:rsid w:val="00981CFF"/>
    <w:rsid w:val="00982B79"/>
    <w:rsid w:val="00986272"/>
    <w:rsid w:val="00986AC1"/>
    <w:rsid w:val="00990638"/>
    <w:rsid w:val="00990C2B"/>
    <w:rsid w:val="0099355C"/>
    <w:rsid w:val="00997B2B"/>
    <w:rsid w:val="009A02C0"/>
    <w:rsid w:val="009A2078"/>
    <w:rsid w:val="009A5857"/>
    <w:rsid w:val="009A5EE8"/>
    <w:rsid w:val="009A6C9F"/>
    <w:rsid w:val="009A7972"/>
    <w:rsid w:val="009B183E"/>
    <w:rsid w:val="009B2F3D"/>
    <w:rsid w:val="009B34BC"/>
    <w:rsid w:val="009B5434"/>
    <w:rsid w:val="009B6480"/>
    <w:rsid w:val="009B6749"/>
    <w:rsid w:val="009B7E81"/>
    <w:rsid w:val="009C0355"/>
    <w:rsid w:val="009C11F2"/>
    <w:rsid w:val="009C2754"/>
    <w:rsid w:val="009C66BC"/>
    <w:rsid w:val="009C6875"/>
    <w:rsid w:val="009C6E7A"/>
    <w:rsid w:val="009C70E2"/>
    <w:rsid w:val="009C75D7"/>
    <w:rsid w:val="009D004B"/>
    <w:rsid w:val="009D1817"/>
    <w:rsid w:val="009D2095"/>
    <w:rsid w:val="009D462E"/>
    <w:rsid w:val="009D4D50"/>
    <w:rsid w:val="009D5D65"/>
    <w:rsid w:val="009E0F21"/>
    <w:rsid w:val="009E1B24"/>
    <w:rsid w:val="009E1EDB"/>
    <w:rsid w:val="009E2725"/>
    <w:rsid w:val="009E2C23"/>
    <w:rsid w:val="009E4E42"/>
    <w:rsid w:val="009E4E44"/>
    <w:rsid w:val="009E687D"/>
    <w:rsid w:val="009F1133"/>
    <w:rsid w:val="009F1912"/>
    <w:rsid w:val="009F5129"/>
    <w:rsid w:val="009F55E4"/>
    <w:rsid w:val="009F71FC"/>
    <w:rsid w:val="00A05539"/>
    <w:rsid w:val="00A077B6"/>
    <w:rsid w:val="00A07EE5"/>
    <w:rsid w:val="00A11E82"/>
    <w:rsid w:val="00A156E7"/>
    <w:rsid w:val="00A15E0C"/>
    <w:rsid w:val="00A16020"/>
    <w:rsid w:val="00A165D7"/>
    <w:rsid w:val="00A17108"/>
    <w:rsid w:val="00A202A8"/>
    <w:rsid w:val="00A225E8"/>
    <w:rsid w:val="00A22F6B"/>
    <w:rsid w:val="00A24179"/>
    <w:rsid w:val="00A246A3"/>
    <w:rsid w:val="00A24B3F"/>
    <w:rsid w:val="00A24BF0"/>
    <w:rsid w:val="00A25B72"/>
    <w:rsid w:val="00A263A6"/>
    <w:rsid w:val="00A264BF"/>
    <w:rsid w:val="00A26CEA"/>
    <w:rsid w:val="00A2746B"/>
    <w:rsid w:val="00A3053B"/>
    <w:rsid w:val="00A30851"/>
    <w:rsid w:val="00A30B18"/>
    <w:rsid w:val="00A30EF9"/>
    <w:rsid w:val="00A3146F"/>
    <w:rsid w:val="00A31523"/>
    <w:rsid w:val="00A316AA"/>
    <w:rsid w:val="00A329D9"/>
    <w:rsid w:val="00A332A7"/>
    <w:rsid w:val="00A36AB0"/>
    <w:rsid w:val="00A4009E"/>
    <w:rsid w:val="00A406DA"/>
    <w:rsid w:val="00A40A1A"/>
    <w:rsid w:val="00A42EBC"/>
    <w:rsid w:val="00A4343B"/>
    <w:rsid w:val="00A43E54"/>
    <w:rsid w:val="00A45683"/>
    <w:rsid w:val="00A45719"/>
    <w:rsid w:val="00A46606"/>
    <w:rsid w:val="00A478B6"/>
    <w:rsid w:val="00A501B9"/>
    <w:rsid w:val="00A50A89"/>
    <w:rsid w:val="00A50D24"/>
    <w:rsid w:val="00A519BE"/>
    <w:rsid w:val="00A52697"/>
    <w:rsid w:val="00A53312"/>
    <w:rsid w:val="00A568A0"/>
    <w:rsid w:val="00A5699D"/>
    <w:rsid w:val="00A574FF"/>
    <w:rsid w:val="00A6062B"/>
    <w:rsid w:val="00A6109C"/>
    <w:rsid w:val="00A612F3"/>
    <w:rsid w:val="00A61F53"/>
    <w:rsid w:val="00A644A3"/>
    <w:rsid w:val="00A67894"/>
    <w:rsid w:val="00A70EB2"/>
    <w:rsid w:val="00A71EBE"/>
    <w:rsid w:val="00A72142"/>
    <w:rsid w:val="00A726EF"/>
    <w:rsid w:val="00A72E81"/>
    <w:rsid w:val="00A72F3D"/>
    <w:rsid w:val="00A731B3"/>
    <w:rsid w:val="00A75580"/>
    <w:rsid w:val="00A767DC"/>
    <w:rsid w:val="00A77700"/>
    <w:rsid w:val="00A8072E"/>
    <w:rsid w:val="00A82515"/>
    <w:rsid w:val="00A827B7"/>
    <w:rsid w:val="00A831E8"/>
    <w:rsid w:val="00A8534E"/>
    <w:rsid w:val="00A85E92"/>
    <w:rsid w:val="00A87B5E"/>
    <w:rsid w:val="00A93994"/>
    <w:rsid w:val="00A93E7B"/>
    <w:rsid w:val="00A94039"/>
    <w:rsid w:val="00A966A7"/>
    <w:rsid w:val="00A97179"/>
    <w:rsid w:val="00AA17AA"/>
    <w:rsid w:val="00AA1CE1"/>
    <w:rsid w:val="00AA2031"/>
    <w:rsid w:val="00AA24BD"/>
    <w:rsid w:val="00AA24F9"/>
    <w:rsid w:val="00AA44CC"/>
    <w:rsid w:val="00AA5F09"/>
    <w:rsid w:val="00AA688B"/>
    <w:rsid w:val="00AA700A"/>
    <w:rsid w:val="00AB09B5"/>
    <w:rsid w:val="00AB4A28"/>
    <w:rsid w:val="00AB5892"/>
    <w:rsid w:val="00AB6EDF"/>
    <w:rsid w:val="00AC09D8"/>
    <w:rsid w:val="00AC1279"/>
    <w:rsid w:val="00AC1536"/>
    <w:rsid w:val="00AC1585"/>
    <w:rsid w:val="00AC25E4"/>
    <w:rsid w:val="00AC35A8"/>
    <w:rsid w:val="00AC35DD"/>
    <w:rsid w:val="00AC59C3"/>
    <w:rsid w:val="00AC5FA6"/>
    <w:rsid w:val="00AC6A77"/>
    <w:rsid w:val="00AD461B"/>
    <w:rsid w:val="00AD5FBB"/>
    <w:rsid w:val="00AE1865"/>
    <w:rsid w:val="00AE1A92"/>
    <w:rsid w:val="00AE2FED"/>
    <w:rsid w:val="00AE40DF"/>
    <w:rsid w:val="00AE4D71"/>
    <w:rsid w:val="00AE4D81"/>
    <w:rsid w:val="00AE549C"/>
    <w:rsid w:val="00AE5D59"/>
    <w:rsid w:val="00AE7EC5"/>
    <w:rsid w:val="00AF0714"/>
    <w:rsid w:val="00AF3386"/>
    <w:rsid w:val="00AF4E5B"/>
    <w:rsid w:val="00B00A7E"/>
    <w:rsid w:val="00B05173"/>
    <w:rsid w:val="00B05C30"/>
    <w:rsid w:val="00B1068B"/>
    <w:rsid w:val="00B11D68"/>
    <w:rsid w:val="00B12272"/>
    <w:rsid w:val="00B12739"/>
    <w:rsid w:val="00B15DFA"/>
    <w:rsid w:val="00B16436"/>
    <w:rsid w:val="00B16589"/>
    <w:rsid w:val="00B20D6C"/>
    <w:rsid w:val="00B212D9"/>
    <w:rsid w:val="00B255C6"/>
    <w:rsid w:val="00B2575F"/>
    <w:rsid w:val="00B27B6A"/>
    <w:rsid w:val="00B306C1"/>
    <w:rsid w:val="00B31948"/>
    <w:rsid w:val="00B346B9"/>
    <w:rsid w:val="00B35483"/>
    <w:rsid w:val="00B3763F"/>
    <w:rsid w:val="00B405D2"/>
    <w:rsid w:val="00B40629"/>
    <w:rsid w:val="00B41647"/>
    <w:rsid w:val="00B416A5"/>
    <w:rsid w:val="00B44DCE"/>
    <w:rsid w:val="00B45223"/>
    <w:rsid w:val="00B459AC"/>
    <w:rsid w:val="00B503DD"/>
    <w:rsid w:val="00B514E7"/>
    <w:rsid w:val="00B51E7C"/>
    <w:rsid w:val="00B533CB"/>
    <w:rsid w:val="00B5394F"/>
    <w:rsid w:val="00B546C5"/>
    <w:rsid w:val="00B5516F"/>
    <w:rsid w:val="00B5600D"/>
    <w:rsid w:val="00B60542"/>
    <w:rsid w:val="00B62CFA"/>
    <w:rsid w:val="00B634D2"/>
    <w:rsid w:val="00B636AF"/>
    <w:rsid w:val="00B66F0C"/>
    <w:rsid w:val="00B679BC"/>
    <w:rsid w:val="00B67FAB"/>
    <w:rsid w:val="00B74BA6"/>
    <w:rsid w:val="00B762C5"/>
    <w:rsid w:val="00B80242"/>
    <w:rsid w:val="00B8048D"/>
    <w:rsid w:val="00B81C5C"/>
    <w:rsid w:val="00B83B09"/>
    <w:rsid w:val="00B84166"/>
    <w:rsid w:val="00B86752"/>
    <w:rsid w:val="00B87EE3"/>
    <w:rsid w:val="00B902A4"/>
    <w:rsid w:val="00B91AA1"/>
    <w:rsid w:val="00B944B0"/>
    <w:rsid w:val="00B96B70"/>
    <w:rsid w:val="00BA080F"/>
    <w:rsid w:val="00BA396C"/>
    <w:rsid w:val="00BA4065"/>
    <w:rsid w:val="00BA4405"/>
    <w:rsid w:val="00BA4BA5"/>
    <w:rsid w:val="00BA4CDA"/>
    <w:rsid w:val="00BA4E2A"/>
    <w:rsid w:val="00BA7144"/>
    <w:rsid w:val="00BA79D0"/>
    <w:rsid w:val="00BA7F06"/>
    <w:rsid w:val="00BB09BA"/>
    <w:rsid w:val="00BB0B52"/>
    <w:rsid w:val="00BB1EC7"/>
    <w:rsid w:val="00BB1F06"/>
    <w:rsid w:val="00BB31D9"/>
    <w:rsid w:val="00BB558A"/>
    <w:rsid w:val="00BB66AA"/>
    <w:rsid w:val="00BB6A7A"/>
    <w:rsid w:val="00BB7ABE"/>
    <w:rsid w:val="00BB7CC2"/>
    <w:rsid w:val="00BC2788"/>
    <w:rsid w:val="00BC2C01"/>
    <w:rsid w:val="00BC3F73"/>
    <w:rsid w:val="00BC5720"/>
    <w:rsid w:val="00BC58F2"/>
    <w:rsid w:val="00BC6DB8"/>
    <w:rsid w:val="00BC739C"/>
    <w:rsid w:val="00BD05E4"/>
    <w:rsid w:val="00BD2E47"/>
    <w:rsid w:val="00BD3A22"/>
    <w:rsid w:val="00BD4061"/>
    <w:rsid w:val="00BD41DB"/>
    <w:rsid w:val="00BE0ECE"/>
    <w:rsid w:val="00BE2A10"/>
    <w:rsid w:val="00BE3306"/>
    <w:rsid w:val="00BE459F"/>
    <w:rsid w:val="00BE5F56"/>
    <w:rsid w:val="00BF12D1"/>
    <w:rsid w:val="00BF5D8E"/>
    <w:rsid w:val="00BF60E5"/>
    <w:rsid w:val="00BF7F82"/>
    <w:rsid w:val="00C007ED"/>
    <w:rsid w:val="00C07AFA"/>
    <w:rsid w:val="00C07FC3"/>
    <w:rsid w:val="00C10C60"/>
    <w:rsid w:val="00C11FAE"/>
    <w:rsid w:val="00C12568"/>
    <w:rsid w:val="00C13B6C"/>
    <w:rsid w:val="00C1422D"/>
    <w:rsid w:val="00C1672C"/>
    <w:rsid w:val="00C175AE"/>
    <w:rsid w:val="00C203EA"/>
    <w:rsid w:val="00C23954"/>
    <w:rsid w:val="00C244D7"/>
    <w:rsid w:val="00C2713B"/>
    <w:rsid w:val="00C2751A"/>
    <w:rsid w:val="00C27841"/>
    <w:rsid w:val="00C33176"/>
    <w:rsid w:val="00C34A25"/>
    <w:rsid w:val="00C35892"/>
    <w:rsid w:val="00C35BB4"/>
    <w:rsid w:val="00C40544"/>
    <w:rsid w:val="00C40586"/>
    <w:rsid w:val="00C40B03"/>
    <w:rsid w:val="00C40D92"/>
    <w:rsid w:val="00C41E09"/>
    <w:rsid w:val="00C44F09"/>
    <w:rsid w:val="00C47762"/>
    <w:rsid w:val="00C47C15"/>
    <w:rsid w:val="00C47EED"/>
    <w:rsid w:val="00C5167B"/>
    <w:rsid w:val="00C5200E"/>
    <w:rsid w:val="00C52A8E"/>
    <w:rsid w:val="00C52BF3"/>
    <w:rsid w:val="00C54412"/>
    <w:rsid w:val="00C54A51"/>
    <w:rsid w:val="00C5741C"/>
    <w:rsid w:val="00C57F34"/>
    <w:rsid w:val="00C62419"/>
    <w:rsid w:val="00C64017"/>
    <w:rsid w:val="00C64743"/>
    <w:rsid w:val="00C64E1F"/>
    <w:rsid w:val="00C66722"/>
    <w:rsid w:val="00C66BEC"/>
    <w:rsid w:val="00C6725F"/>
    <w:rsid w:val="00C71C39"/>
    <w:rsid w:val="00C73091"/>
    <w:rsid w:val="00C7403B"/>
    <w:rsid w:val="00C758A2"/>
    <w:rsid w:val="00C75AB0"/>
    <w:rsid w:val="00C764C9"/>
    <w:rsid w:val="00C80A1D"/>
    <w:rsid w:val="00C80C0C"/>
    <w:rsid w:val="00C80F49"/>
    <w:rsid w:val="00C81F79"/>
    <w:rsid w:val="00C8371C"/>
    <w:rsid w:val="00C844E9"/>
    <w:rsid w:val="00C8487F"/>
    <w:rsid w:val="00C863E4"/>
    <w:rsid w:val="00C86D66"/>
    <w:rsid w:val="00C872E1"/>
    <w:rsid w:val="00C87F7B"/>
    <w:rsid w:val="00C9062E"/>
    <w:rsid w:val="00C913AA"/>
    <w:rsid w:val="00C93D4D"/>
    <w:rsid w:val="00C9444B"/>
    <w:rsid w:val="00CA170A"/>
    <w:rsid w:val="00CA18D8"/>
    <w:rsid w:val="00CA6588"/>
    <w:rsid w:val="00CB03A8"/>
    <w:rsid w:val="00CB0584"/>
    <w:rsid w:val="00CB07BC"/>
    <w:rsid w:val="00CB09CE"/>
    <w:rsid w:val="00CB4200"/>
    <w:rsid w:val="00CB4489"/>
    <w:rsid w:val="00CB58F6"/>
    <w:rsid w:val="00CB6CB6"/>
    <w:rsid w:val="00CB7A58"/>
    <w:rsid w:val="00CC177F"/>
    <w:rsid w:val="00CC1A86"/>
    <w:rsid w:val="00CC3992"/>
    <w:rsid w:val="00CC3C07"/>
    <w:rsid w:val="00CC451B"/>
    <w:rsid w:val="00CC5723"/>
    <w:rsid w:val="00CC5809"/>
    <w:rsid w:val="00CC6980"/>
    <w:rsid w:val="00CD09C5"/>
    <w:rsid w:val="00CD1324"/>
    <w:rsid w:val="00CD1E79"/>
    <w:rsid w:val="00CD2D2C"/>
    <w:rsid w:val="00CD31BF"/>
    <w:rsid w:val="00CD5993"/>
    <w:rsid w:val="00CD621F"/>
    <w:rsid w:val="00CD7419"/>
    <w:rsid w:val="00CD7EA8"/>
    <w:rsid w:val="00CE0FF5"/>
    <w:rsid w:val="00CE295E"/>
    <w:rsid w:val="00CE33B8"/>
    <w:rsid w:val="00CE5779"/>
    <w:rsid w:val="00CF071A"/>
    <w:rsid w:val="00CF0E9C"/>
    <w:rsid w:val="00CF2167"/>
    <w:rsid w:val="00CF232C"/>
    <w:rsid w:val="00CF252C"/>
    <w:rsid w:val="00CF3AF0"/>
    <w:rsid w:val="00CF4E7C"/>
    <w:rsid w:val="00CF7F4F"/>
    <w:rsid w:val="00D0063A"/>
    <w:rsid w:val="00D01E10"/>
    <w:rsid w:val="00D02C70"/>
    <w:rsid w:val="00D036DC"/>
    <w:rsid w:val="00D040BE"/>
    <w:rsid w:val="00D04212"/>
    <w:rsid w:val="00D042B1"/>
    <w:rsid w:val="00D06892"/>
    <w:rsid w:val="00D074A4"/>
    <w:rsid w:val="00D10B52"/>
    <w:rsid w:val="00D10F73"/>
    <w:rsid w:val="00D11244"/>
    <w:rsid w:val="00D117DA"/>
    <w:rsid w:val="00D12DCE"/>
    <w:rsid w:val="00D13C97"/>
    <w:rsid w:val="00D15AF7"/>
    <w:rsid w:val="00D16292"/>
    <w:rsid w:val="00D17B93"/>
    <w:rsid w:val="00D17C91"/>
    <w:rsid w:val="00D20152"/>
    <w:rsid w:val="00D204B7"/>
    <w:rsid w:val="00D20D96"/>
    <w:rsid w:val="00D217CB"/>
    <w:rsid w:val="00D2312A"/>
    <w:rsid w:val="00D23D2C"/>
    <w:rsid w:val="00D243CA"/>
    <w:rsid w:val="00D256DE"/>
    <w:rsid w:val="00D316DB"/>
    <w:rsid w:val="00D32846"/>
    <w:rsid w:val="00D33EAE"/>
    <w:rsid w:val="00D34F5C"/>
    <w:rsid w:val="00D35F02"/>
    <w:rsid w:val="00D37700"/>
    <w:rsid w:val="00D37A3E"/>
    <w:rsid w:val="00D40245"/>
    <w:rsid w:val="00D41612"/>
    <w:rsid w:val="00D43C1E"/>
    <w:rsid w:val="00D44195"/>
    <w:rsid w:val="00D44F56"/>
    <w:rsid w:val="00D451B8"/>
    <w:rsid w:val="00D4622C"/>
    <w:rsid w:val="00D46587"/>
    <w:rsid w:val="00D4775D"/>
    <w:rsid w:val="00D51B04"/>
    <w:rsid w:val="00D521B7"/>
    <w:rsid w:val="00D52B03"/>
    <w:rsid w:val="00D52D5B"/>
    <w:rsid w:val="00D542BE"/>
    <w:rsid w:val="00D545AA"/>
    <w:rsid w:val="00D55ECB"/>
    <w:rsid w:val="00D57ECF"/>
    <w:rsid w:val="00D63429"/>
    <w:rsid w:val="00D636A0"/>
    <w:rsid w:val="00D64747"/>
    <w:rsid w:val="00D6531A"/>
    <w:rsid w:val="00D65E29"/>
    <w:rsid w:val="00D66C76"/>
    <w:rsid w:val="00D70699"/>
    <w:rsid w:val="00D70776"/>
    <w:rsid w:val="00D70B2A"/>
    <w:rsid w:val="00D7795B"/>
    <w:rsid w:val="00D81EA0"/>
    <w:rsid w:val="00D83189"/>
    <w:rsid w:val="00D83910"/>
    <w:rsid w:val="00D9012A"/>
    <w:rsid w:val="00D93D45"/>
    <w:rsid w:val="00D944A9"/>
    <w:rsid w:val="00D97AC3"/>
    <w:rsid w:val="00DA0A6A"/>
    <w:rsid w:val="00DA1935"/>
    <w:rsid w:val="00DA23A6"/>
    <w:rsid w:val="00DA2A4D"/>
    <w:rsid w:val="00DA44E9"/>
    <w:rsid w:val="00DA55E1"/>
    <w:rsid w:val="00DB0F70"/>
    <w:rsid w:val="00DB1A11"/>
    <w:rsid w:val="00DC24C4"/>
    <w:rsid w:val="00DC2508"/>
    <w:rsid w:val="00DC2C8D"/>
    <w:rsid w:val="00DC3520"/>
    <w:rsid w:val="00DC7D62"/>
    <w:rsid w:val="00DD13A7"/>
    <w:rsid w:val="00DD24A1"/>
    <w:rsid w:val="00DD53D0"/>
    <w:rsid w:val="00DD612A"/>
    <w:rsid w:val="00DE06EA"/>
    <w:rsid w:val="00DE1A0A"/>
    <w:rsid w:val="00DE1B89"/>
    <w:rsid w:val="00DE1D0E"/>
    <w:rsid w:val="00DE1D74"/>
    <w:rsid w:val="00DE2F01"/>
    <w:rsid w:val="00DE42E9"/>
    <w:rsid w:val="00DE6889"/>
    <w:rsid w:val="00DE6A8E"/>
    <w:rsid w:val="00DE72DD"/>
    <w:rsid w:val="00DF005C"/>
    <w:rsid w:val="00DF170C"/>
    <w:rsid w:val="00DF4CE3"/>
    <w:rsid w:val="00E00541"/>
    <w:rsid w:val="00E015D0"/>
    <w:rsid w:val="00E039B9"/>
    <w:rsid w:val="00E03CAE"/>
    <w:rsid w:val="00E0562E"/>
    <w:rsid w:val="00E0583E"/>
    <w:rsid w:val="00E05B0A"/>
    <w:rsid w:val="00E06946"/>
    <w:rsid w:val="00E076B7"/>
    <w:rsid w:val="00E07DE6"/>
    <w:rsid w:val="00E141D7"/>
    <w:rsid w:val="00E145DD"/>
    <w:rsid w:val="00E14CBA"/>
    <w:rsid w:val="00E15F38"/>
    <w:rsid w:val="00E177B1"/>
    <w:rsid w:val="00E2088C"/>
    <w:rsid w:val="00E20C06"/>
    <w:rsid w:val="00E210EF"/>
    <w:rsid w:val="00E22563"/>
    <w:rsid w:val="00E22EED"/>
    <w:rsid w:val="00E26214"/>
    <w:rsid w:val="00E2701A"/>
    <w:rsid w:val="00E27041"/>
    <w:rsid w:val="00E275DA"/>
    <w:rsid w:val="00E27684"/>
    <w:rsid w:val="00E27CE7"/>
    <w:rsid w:val="00E308A8"/>
    <w:rsid w:val="00E36331"/>
    <w:rsid w:val="00E36947"/>
    <w:rsid w:val="00E37EBD"/>
    <w:rsid w:val="00E43033"/>
    <w:rsid w:val="00E43620"/>
    <w:rsid w:val="00E44567"/>
    <w:rsid w:val="00E451F7"/>
    <w:rsid w:val="00E45B2F"/>
    <w:rsid w:val="00E460B1"/>
    <w:rsid w:val="00E46C99"/>
    <w:rsid w:val="00E51159"/>
    <w:rsid w:val="00E52EEE"/>
    <w:rsid w:val="00E5571D"/>
    <w:rsid w:val="00E55B95"/>
    <w:rsid w:val="00E56B5E"/>
    <w:rsid w:val="00E61D94"/>
    <w:rsid w:val="00E629E9"/>
    <w:rsid w:val="00E62C03"/>
    <w:rsid w:val="00E66263"/>
    <w:rsid w:val="00E6732C"/>
    <w:rsid w:val="00E74FD8"/>
    <w:rsid w:val="00E767CA"/>
    <w:rsid w:val="00E76BCE"/>
    <w:rsid w:val="00E81404"/>
    <w:rsid w:val="00E83581"/>
    <w:rsid w:val="00E84089"/>
    <w:rsid w:val="00E841B8"/>
    <w:rsid w:val="00E8431F"/>
    <w:rsid w:val="00E843E0"/>
    <w:rsid w:val="00E84A4F"/>
    <w:rsid w:val="00E84EDE"/>
    <w:rsid w:val="00E8514F"/>
    <w:rsid w:val="00E86B00"/>
    <w:rsid w:val="00E87333"/>
    <w:rsid w:val="00E90C42"/>
    <w:rsid w:val="00E91A98"/>
    <w:rsid w:val="00E93A4B"/>
    <w:rsid w:val="00E94BD7"/>
    <w:rsid w:val="00E95AB2"/>
    <w:rsid w:val="00E966D8"/>
    <w:rsid w:val="00E970F6"/>
    <w:rsid w:val="00EA08CC"/>
    <w:rsid w:val="00EA1977"/>
    <w:rsid w:val="00EA2A19"/>
    <w:rsid w:val="00EA35CE"/>
    <w:rsid w:val="00EA3A5D"/>
    <w:rsid w:val="00EA3C77"/>
    <w:rsid w:val="00EA4D10"/>
    <w:rsid w:val="00EA5F00"/>
    <w:rsid w:val="00EA67B9"/>
    <w:rsid w:val="00EA6A21"/>
    <w:rsid w:val="00EA7FB5"/>
    <w:rsid w:val="00EB7C1B"/>
    <w:rsid w:val="00EC1318"/>
    <w:rsid w:val="00EC53A1"/>
    <w:rsid w:val="00EC5EB0"/>
    <w:rsid w:val="00EC7075"/>
    <w:rsid w:val="00ED0020"/>
    <w:rsid w:val="00ED1C17"/>
    <w:rsid w:val="00ED58E8"/>
    <w:rsid w:val="00ED6566"/>
    <w:rsid w:val="00EE038D"/>
    <w:rsid w:val="00EE12AB"/>
    <w:rsid w:val="00EE2889"/>
    <w:rsid w:val="00EE4B14"/>
    <w:rsid w:val="00EE4C24"/>
    <w:rsid w:val="00EE574E"/>
    <w:rsid w:val="00EE7519"/>
    <w:rsid w:val="00EF0293"/>
    <w:rsid w:val="00EF0DDA"/>
    <w:rsid w:val="00EF1C8F"/>
    <w:rsid w:val="00EF27EB"/>
    <w:rsid w:val="00EF3227"/>
    <w:rsid w:val="00EF5807"/>
    <w:rsid w:val="00EF614D"/>
    <w:rsid w:val="00EF7DEB"/>
    <w:rsid w:val="00F01A09"/>
    <w:rsid w:val="00F03716"/>
    <w:rsid w:val="00F03DF0"/>
    <w:rsid w:val="00F044CE"/>
    <w:rsid w:val="00F06AF4"/>
    <w:rsid w:val="00F06B59"/>
    <w:rsid w:val="00F07991"/>
    <w:rsid w:val="00F07D91"/>
    <w:rsid w:val="00F07DAF"/>
    <w:rsid w:val="00F104F9"/>
    <w:rsid w:val="00F12080"/>
    <w:rsid w:val="00F125C5"/>
    <w:rsid w:val="00F142C6"/>
    <w:rsid w:val="00F16577"/>
    <w:rsid w:val="00F21238"/>
    <w:rsid w:val="00F22B60"/>
    <w:rsid w:val="00F240ED"/>
    <w:rsid w:val="00F24686"/>
    <w:rsid w:val="00F24D33"/>
    <w:rsid w:val="00F24D62"/>
    <w:rsid w:val="00F316D5"/>
    <w:rsid w:val="00F31D66"/>
    <w:rsid w:val="00F32C52"/>
    <w:rsid w:val="00F33ACE"/>
    <w:rsid w:val="00F35373"/>
    <w:rsid w:val="00F3593A"/>
    <w:rsid w:val="00F35E34"/>
    <w:rsid w:val="00F365B6"/>
    <w:rsid w:val="00F4035A"/>
    <w:rsid w:val="00F40848"/>
    <w:rsid w:val="00F41A71"/>
    <w:rsid w:val="00F4201C"/>
    <w:rsid w:val="00F42097"/>
    <w:rsid w:val="00F4432E"/>
    <w:rsid w:val="00F461F3"/>
    <w:rsid w:val="00F46790"/>
    <w:rsid w:val="00F46FF5"/>
    <w:rsid w:val="00F47221"/>
    <w:rsid w:val="00F47D53"/>
    <w:rsid w:val="00F537E7"/>
    <w:rsid w:val="00F564A7"/>
    <w:rsid w:val="00F56818"/>
    <w:rsid w:val="00F575F5"/>
    <w:rsid w:val="00F60095"/>
    <w:rsid w:val="00F6043F"/>
    <w:rsid w:val="00F61665"/>
    <w:rsid w:val="00F618A3"/>
    <w:rsid w:val="00F6395C"/>
    <w:rsid w:val="00F63E7F"/>
    <w:rsid w:val="00F652E5"/>
    <w:rsid w:val="00F67490"/>
    <w:rsid w:val="00F71107"/>
    <w:rsid w:val="00F71674"/>
    <w:rsid w:val="00F74805"/>
    <w:rsid w:val="00F74A48"/>
    <w:rsid w:val="00F75F3E"/>
    <w:rsid w:val="00F82CDB"/>
    <w:rsid w:val="00F82F36"/>
    <w:rsid w:val="00F8316A"/>
    <w:rsid w:val="00F83391"/>
    <w:rsid w:val="00F83893"/>
    <w:rsid w:val="00F83A31"/>
    <w:rsid w:val="00F857D5"/>
    <w:rsid w:val="00F86118"/>
    <w:rsid w:val="00F86589"/>
    <w:rsid w:val="00F9039A"/>
    <w:rsid w:val="00F91D69"/>
    <w:rsid w:val="00F93EE3"/>
    <w:rsid w:val="00F94150"/>
    <w:rsid w:val="00F9474E"/>
    <w:rsid w:val="00F976D4"/>
    <w:rsid w:val="00FA25B5"/>
    <w:rsid w:val="00FA2F06"/>
    <w:rsid w:val="00FA4282"/>
    <w:rsid w:val="00FA608D"/>
    <w:rsid w:val="00FA611F"/>
    <w:rsid w:val="00FA63F5"/>
    <w:rsid w:val="00FA6EC4"/>
    <w:rsid w:val="00FA79DB"/>
    <w:rsid w:val="00FB0695"/>
    <w:rsid w:val="00FB191D"/>
    <w:rsid w:val="00FB1B10"/>
    <w:rsid w:val="00FB4954"/>
    <w:rsid w:val="00FB4A9A"/>
    <w:rsid w:val="00FB53C2"/>
    <w:rsid w:val="00FB5862"/>
    <w:rsid w:val="00FB5D12"/>
    <w:rsid w:val="00FB616C"/>
    <w:rsid w:val="00FC0E1D"/>
    <w:rsid w:val="00FC50A8"/>
    <w:rsid w:val="00FC61D4"/>
    <w:rsid w:val="00FC647D"/>
    <w:rsid w:val="00FC6F2B"/>
    <w:rsid w:val="00FD165B"/>
    <w:rsid w:val="00FD3209"/>
    <w:rsid w:val="00FD571B"/>
    <w:rsid w:val="00FE04E2"/>
    <w:rsid w:val="00FE360E"/>
    <w:rsid w:val="00FE3E10"/>
    <w:rsid w:val="00FE4C44"/>
    <w:rsid w:val="00FE5CD4"/>
    <w:rsid w:val="00FE68C6"/>
    <w:rsid w:val="00FE6D86"/>
    <w:rsid w:val="00FF33A5"/>
    <w:rsid w:val="00FF6A7E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9AE562"/>
  <w15:chartTrackingRefBased/>
  <w15:docId w15:val="{290157C7-8075-4F7E-9FA1-EBC91B1D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A7A4E"/>
    <w:rPr>
      <w:rFonts w:ascii="Verdana" w:hAnsi="Verdana" w:cs="Verdana"/>
      <w:sz w:val="18"/>
      <w:szCs w:val="18"/>
      <w:lang w:val="en-GB" w:eastAsia="zh-CN"/>
    </w:rPr>
  </w:style>
  <w:style w:type="paragraph" w:styleId="Nagwek1">
    <w:name w:val="heading 1"/>
    <w:basedOn w:val="No-numheading1Agency"/>
    <w:next w:val="BodytextAgency"/>
    <w:qFormat/>
    <w:rsid w:val="00E51159"/>
    <w:pPr>
      <w:numPr>
        <w:numId w:val="63"/>
      </w:numPr>
    </w:pPr>
    <w:rPr>
      <w:noProof/>
    </w:rPr>
  </w:style>
  <w:style w:type="paragraph" w:styleId="Nagwek2">
    <w:name w:val="heading 2"/>
    <w:basedOn w:val="No-numheading2Agency"/>
    <w:next w:val="BodytextAgency"/>
    <w:qFormat/>
    <w:rsid w:val="00E51159"/>
    <w:pPr>
      <w:numPr>
        <w:ilvl w:val="1"/>
        <w:numId w:val="63"/>
      </w:numPr>
    </w:pPr>
  </w:style>
  <w:style w:type="paragraph" w:styleId="Nagwek3">
    <w:name w:val="heading 3"/>
    <w:basedOn w:val="No-numheading3Agency"/>
    <w:next w:val="BodytextAgency"/>
    <w:qFormat/>
    <w:rsid w:val="00E51159"/>
    <w:pPr>
      <w:numPr>
        <w:ilvl w:val="2"/>
        <w:numId w:val="63"/>
      </w:numPr>
    </w:pPr>
  </w:style>
  <w:style w:type="paragraph" w:styleId="Nagwek4">
    <w:name w:val="heading 4"/>
    <w:basedOn w:val="No-numheading4Agency"/>
    <w:next w:val="BodytextAgency"/>
    <w:qFormat/>
    <w:rsid w:val="00E51159"/>
    <w:pPr>
      <w:numPr>
        <w:ilvl w:val="3"/>
        <w:numId w:val="63"/>
      </w:numPr>
    </w:pPr>
  </w:style>
  <w:style w:type="paragraph" w:styleId="Nagwek5">
    <w:name w:val="heading 5"/>
    <w:basedOn w:val="Normalny"/>
    <w:next w:val="Normalny"/>
    <w:qFormat/>
    <w:rsid w:val="00E51159"/>
    <w:pPr>
      <w:keepNext/>
      <w:numPr>
        <w:ilvl w:val="4"/>
        <w:numId w:val="63"/>
      </w:numPr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Nagwek6">
    <w:name w:val="heading 6"/>
    <w:basedOn w:val="No-numheading6Agency"/>
    <w:next w:val="BodytextAgency"/>
    <w:qFormat/>
    <w:rsid w:val="00E51159"/>
    <w:pPr>
      <w:numPr>
        <w:ilvl w:val="5"/>
        <w:numId w:val="63"/>
      </w:numPr>
    </w:pPr>
  </w:style>
  <w:style w:type="paragraph" w:styleId="Nagwek7">
    <w:name w:val="heading 7"/>
    <w:basedOn w:val="No-numheading7Agency"/>
    <w:next w:val="BodytextAgency"/>
    <w:qFormat/>
    <w:rsid w:val="00E51159"/>
    <w:pPr>
      <w:numPr>
        <w:ilvl w:val="6"/>
        <w:numId w:val="63"/>
      </w:numPr>
    </w:pPr>
  </w:style>
  <w:style w:type="paragraph" w:styleId="Nagwek8">
    <w:name w:val="heading 8"/>
    <w:basedOn w:val="No-numheading8Agency"/>
    <w:next w:val="BodytextAgency"/>
    <w:qFormat/>
    <w:rsid w:val="00E51159"/>
    <w:pPr>
      <w:numPr>
        <w:ilvl w:val="7"/>
        <w:numId w:val="63"/>
      </w:numPr>
    </w:pPr>
  </w:style>
  <w:style w:type="paragraph" w:styleId="Nagwek9">
    <w:name w:val="heading 9"/>
    <w:basedOn w:val="No-numheading9Agency"/>
    <w:next w:val="BodytextAgency"/>
    <w:qFormat/>
    <w:rsid w:val="00E51159"/>
    <w:pPr>
      <w:numPr>
        <w:ilvl w:val="8"/>
        <w:numId w:val="63"/>
      </w:numPr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96BF6"/>
    <w:pPr>
      <w:jc w:val="center"/>
    </w:pPr>
  </w:style>
  <w:style w:type="paragraph" w:styleId="Stopka">
    <w:name w:val="footer"/>
    <w:basedOn w:val="Normalny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Numerstrony">
    <w:name w:val="page number"/>
    <w:basedOn w:val="Domylnaczcionkaakapitu"/>
    <w:semiHidden/>
    <w:rsid w:val="00E51159"/>
  </w:style>
  <w:style w:type="paragraph" w:customStyle="1" w:styleId="FooterAgency">
    <w:name w:val="Footer (Agency)"/>
    <w:basedOn w:val="Normalny"/>
    <w:link w:val="FooterAgencyCharChar"/>
    <w:rsid w:val="00073E98"/>
    <w:rPr>
      <w:rFonts w:eastAsia="Verdana" w:cs="Times New Roman"/>
      <w:color w:val="6D6F71"/>
      <w:sz w:val="14"/>
      <w:szCs w:val="14"/>
      <w:lang w:val="x-none" w:eastAsia="x-none"/>
    </w:rPr>
  </w:style>
  <w:style w:type="paragraph" w:customStyle="1" w:styleId="FooterblueAgency">
    <w:name w:val="Footer blue (Agency)"/>
    <w:basedOn w:val="Normalny"/>
    <w:link w:val="FooterblueAgencyCharChar"/>
    <w:rsid w:val="00073E98"/>
    <w:rPr>
      <w:rFonts w:eastAsia="Verdana" w:cs="Times New Roman"/>
      <w:b/>
      <w:color w:val="003399"/>
      <w:sz w:val="13"/>
      <w:szCs w:val="14"/>
      <w:lang w:val="x-none" w:eastAsia="x-none"/>
    </w:rPr>
  </w:style>
  <w:style w:type="table" w:customStyle="1" w:styleId="FootertableAgency">
    <w:name w:val="Footer table (Agency)"/>
    <w:basedOn w:val="Standardowy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Wingdings" w:hAnsi="Wingding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073E98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ny"/>
    <w:next w:val="Normalny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073E98"/>
    <w:rPr>
      <w:rFonts w:ascii="Verdana" w:eastAsia="Verdana" w:hAnsi="Verdana" w:cs="Verdana"/>
      <w:b/>
      <w:color w:val="003399"/>
      <w:sz w:val="13"/>
      <w:szCs w:val="14"/>
    </w:rPr>
  </w:style>
  <w:style w:type="paragraph" w:styleId="Tekstpodstawowy">
    <w:name w:val="Body Text"/>
    <w:basedOn w:val="Normalny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ny"/>
    <w:link w:val="BodytextAgencyChar"/>
    <w:qFormat/>
    <w:rsid w:val="00E51159"/>
    <w:pPr>
      <w:spacing w:after="140" w:line="280" w:lineRule="atLeast"/>
    </w:pPr>
    <w:rPr>
      <w:rFonts w:eastAsia="Verdana" w:cs="Times New Roman"/>
      <w:lang w:val="x-none" w:eastAsia="x-none"/>
    </w:rPr>
  </w:style>
  <w:style w:type="numbering" w:customStyle="1" w:styleId="BulletsAgency">
    <w:name w:val="Bullets (Agency)"/>
    <w:basedOn w:val="Bezlisty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ny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ny"/>
    <w:next w:val="BodytextAgency"/>
    <w:qFormat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ny"/>
    <w:next w:val="DocsubtitleAgency"/>
    <w:qFormat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ny"/>
    <w:next w:val="BodytextAgency"/>
    <w:qFormat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Odwoanieprzypisukocowego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Tekstprzypisukocowego">
    <w:name w:val="endnote text"/>
    <w:basedOn w:val="Normalny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ny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ny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ny"/>
    <w:next w:val="FigureAgency"/>
    <w:semiHidden/>
    <w:rsid w:val="00E51159"/>
    <w:pPr>
      <w:keepNext/>
      <w:numPr>
        <w:numId w:val="2"/>
      </w:numPr>
      <w:spacing w:before="240" w:after="120"/>
    </w:pPr>
  </w:style>
  <w:style w:type="character" w:styleId="Odwoanieprzypisudolnego">
    <w:name w:val="footnote reference"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Tekstprzypisudolnego">
    <w:name w:val="footnote text"/>
    <w:basedOn w:val="Normalny"/>
    <w:link w:val="TekstprzypisudolnegoZnak"/>
    <w:rsid w:val="00E51159"/>
    <w:rPr>
      <w:rFonts w:eastAsia="Verdana" w:cs="Times New Roman"/>
      <w:sz w:val="15"/>
      <w:szCs w:val="20"/>
      <w:lang w:val="x-none" w:eastAsia="x-none"/>
    </w:rPr>
  </w:style>
  <w:style w:type="paragraph" w:customStyle="1" w:styleId="FootnotetextAgency">
    <w:name w:val="Footnote text (Agency)"/>
    <w:basedOn w:val="Normalny"/>
    <w:link w:val="FootnotetextAgencyChar"/>
    <w:rsid w:val="00E51159"/>
    <w:rPr>
      <w:rFonts w:eastAsia="Verdana" w:cs="Times New Roman"/>
      <w:sz w:val="15"/>
      <w:lang w:val="x-none" w:eastAsia="x-none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ny"/>
    <w:next w:val="BodytextAgency"/>
    <w:link w:val="Heading1AgencyChar"/>
    <w:qFormat/>
    <w:rsid w:val="00E51159"/>
    <w:pPr>
      <w:keepNext/>
      <w:numPr>
        <w:numId w:val="3"/>
      </w:numPr>
      <w:spacing w:before="280" w:after="220"/>
      <w:outlineLvl w:val="0"/>
    </w:pPr>
    <w:rPr>
      <w:rFonts w:eastAsia="Verdana" w:cs="Times New Roman"/>
      <w:b/>
      <w:bCs/>
      <w:kern w:val="32"/>
      <w:sz w:val="27"/>
      <w:szCs w:val="27"/>
      <w:lang w:val="x-none" w:eastAsia="x-none"/>
    </w:rPr>
  </w:style>
  <w:style w:type="paragraph" w:customStyle="1" w:styleId="Heading2Agency">
    <w:name w:val="Heading 2 (Agency)"/>
    <w:basedOn w:val="Normalny"/>
    <w:next w:val="BodytextAgency"/>
    <w:link w:val="Heading2AgencyChar"/>
    <w:qFormat/>
    <w:rsid w:val="00E51159"/>
    <w:pPr>
      <w:keepNext/>
      <w:numPr>
        <w:ilvl w:val="1"/>
        <w:numId w:val="3"/>
      </w:numPr>
      <w:spacing w:before="280" w:after="220"/>
      <w:outlineLvl w:val="1"/>
    </w:pPr>
    <w:rPr>
      <w:rFonts w:eastAsia="Verdana" w:cs="Times New Roman"/>
      <w:b/>
      <w:bCs/>
      <w:i/>
      <w:kern w:val="32"/>
      <w:sz w:val="22"/>
      <w:szCs w:val="22"/>
      <w:lang w:val="x-none" w:eastAsia="x-none"/>
    </w:rPr>
  </w:style>
  <w:style w:type="paragraph" w:customStyle="1" w:styleId="Heading3Agency">
    <w:name w:val="Heading 3 (Agency)"/>
    <w:basedOn w:val="Normalny"/>
    <w:next w:val="BodytextAgency"/>
    <w:link w:val="Heading3AgencyCharChar"/>
    <w:qFormat/>
    <w:rsid w:val="00E51159"/>
    <w:pPr>
      <w:keepNext/>
      <w:numPr>
        <w:ilvl w:val="2"/>
        <w:numId w:val="3"/>
      </w:numPr>
      <w:spacing w:before="280" w:after="220"/>
      <w:outlineLvl w:val="2"/>
    </w:pPr>
    <w:rPr>
      <w:rFonts w:eastAsia="Verdana" w:cs="Times New Roman"/>
      <w:b/>
      <w:bCs/>
      <w:kern w:val="32"/>
      <w:sz w:val="22"/>
      <w:szCs w:val="22"/>
      <w:lang w:val="x-none" w:eastAsia="x-none"/>
    </w:rPr>
  </w:style>
  <w:style w:type="paragraph" w:customStyle="1" w:styleId="Heading4Agency">
    <w:name w:val="Heading 4 (Agency)"/>
    <w:basedOn w:val="Heading3Agency"/>
    <w:next w:val="BodytextAgency"/>
    <w:qFormat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ny"/>
    <w:next w:val="BodytextAgency"/>
    <w:qFormat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ny"/>
    <w:next w:val="BodytextAgency"/>
    <w:qFormat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E51159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ny"/>
    <w:next w:val="BodytextAgency"/>
    <w:qFormat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Bezlisty"/>
    <w:rsid w:val="00E51159"/>
    <w:pPr>
      <w:numPr>
        <w:numId w:val="4"/>
      </w:numPr>
    </w:pPr>
  </w:style>
  <w:style w:type="paragraph" w:customStyle="1" w:styleId="RefAgency">
    <w:name w:val="Ref. (Agency)"/>
    <w:basedOn w:val="Normalny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Standardowy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Wingdings" w:hAnsi="Wingdings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" w:hAnsi="Wingdings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Standardowy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Wingdings" w:hAnsi="Wingdings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ny"/>
    <w:next w:val="BodytextAgency"/>
    <w:semiHidden/>
    <w:rsid w:val="00E51159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ny"/>
    <w:link w:val="TabletextrowsAgencyChar"/>
    <w:uiPriority w:val="99"/>
    <w:qFormat/>
    <w:rsid w:val="00E51159"/>
    <w:pPr>
      <w:spacing w:line="280" w:lineRule="exact"/>
    </w:pPr>
    <w:rPr>
      <w:rFonts w:eastAsia="Times New Roman" w:cs="Times New Roman"/>
      <w:lang w:val="x-none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Spistreci1">
    <w:name w:val="toc 1"/>
    <w:basedOn w:val="Normalny"/>
    <w:next w:val="BodytextAgency"/>
    <w:uiPriority w:val="39"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Spistreci2">
    <w:name w:val="toc 2"/>
    <w:basedOn w:val="Normalny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Spistreci3">
    <w:name w:val="toc 3"/>
    <w:basedOn w:val="Normalny"/>
    <w:next w:val="BodytextAgency"/>
    <w:uiPriority w:val="39"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Spistreci4">
    <w:name w:val="toc 4"/>
    <w:basedOn w:val="Normalny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Spistreci5">
    <w:name w:val="toc 5"/>
    <w:basedOn w:val="Normalny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Spistreci6">
    <w:name w:val="toc 6"/>
    <w:basedOn w:val="Normalny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Spistreci7">
    <w:name w:val="toc 7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Spistreci8">
    <w:name w:val="toc 8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Spistreci9">
    <w:name w:val="toc 9"/>
    <w:basedOn w:val="Normalny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96BF6"/>
    <w:rPr>
      <w:rFonts w:ascii="Verdana" w:eastAsia="Times New Roman" w:hAnsi="Verdana"/>
      <w:color w:val="FF0000"/>
      <w:sz w:val="17"/>
      <w:szCs w:val="17"/>
      <w:lang w:val="en-GB" w:eastAsia="en-GB"/>
    </w:rPr>
  </w:style>
  <w:style w:type="numbering" w:customStyle="1" w:styleId="BulletsAgency1">
    <w:name w:val="Bullets (Agency)1"/>
    <w:basedOn w:val="Bezlisty"/>
    <w:rsid w:val="0084326C"/>
  </w:style>
  <w:style w:type="paragraph" w:styleId="Tekstdymka">
    <w:name w:val="Balloon Text"/>
    <w:basedOn w:val="Normalny"/>
    <w:link w:val="TekstdymkaZnak"/>
    <w:rsid w:val="00B62CFA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B62CFA"/>
    <w:rPr>
      <w:rFonts w:ascii="Tahoma" w:hAnsi="Tahoma" w:cs="Tahoma"/>
      <w:sz w:val="16"/>
      <w:szCs w:val="16"/>
      <w:lang w:eastAsia="zh-CN"/>
    </w:rPr>
  </w:style>
  <w:style w:type="character" w:customStyle="1" w:styleId="BodytextAgencyChar">
    <w:name w:val="Body text (Agency) Char"/>
    <w:link w:val="BodytextAgency"/>
    <w:locked/>
    <w:rsid w:val="00C8487F"/>
    <w:rPr>
      <w:rFonts w:ascii="Verdana" w:eastAsia="Verdana" w:hAnsi="Verdana" w:cs="Verdana"/>
      <w:sz w:val="18"/>
      <w:szCs w:val="18"/>
    </w:rPr>
  </w:style>
  <w:style w:type="paragraph" w:customStyle="1" w:styleId="StyleTabletextrowsAgency">
    <w:name w:val="Style Table text rows (Agency)"/>
    <w:basedOn w:val="TabletextrowsAgency"/>
    <w:rsid w:val="00631120"/>
    <w:rPr>
      <w:sz w:val="20"/>
    </w:rPr>
  </w:style>
  <w:style w:type="character" w:customStyle="1" w:styleId="TekstprzypisudolnegoZnak">
    <w:name w:val="Tekst przypisu dolnego Znak"/>
    <w:link w:val="Tekstprzypisudolnego"/>
    <w:rsid w:val="007B11E6"/>
    <w:rPr>
      <w:rFonts w:ascii="Verdana" w:eastAsia="Verdana" w:hAnsi="Verdana" w:cs="Verdana"/>
      <w:sz w:val="15"/>
    </w:rPr>
  </w:style>
  <w:style w:type="character" w:styleId="Odwoaniedokomentarza">
    <w:name w:val="annotation reference"/>
    <w:uiPriority w:val="99"/>
    <w:rsid w:val="00A519B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19BE"/>
    <w:rPr>
      <w:rFonts w:cs="Times New Roman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A519BE"/>
    <w:rPr>
      <w:rFonts w:ascii="Verdana" w:hAnsi="Verdana" w:cs="Verdana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A519BE"/>
    <w:rPr>
      <w:b/>
      <w:bCs/>
    </w:rPr>
  </w:style>
  <w:style w:type="character" w:customStyle="1" w:styleId="TematkomentarzaZnak">
    <w:name w:val="Temat komentarza Znak"/>
    <w:link w:val="Tematkomentarza"/>
    <w:rsid w:val="00A519BE"/>
    <w:rPr>
      <w:rFonts w:ascii="Verdana" w:hAnsi="Verdana" w:cs="Verdana"/>
      <w:b/>
      <w:bCs/>
      <w:lang w:eastAsia="zh-CN"/>
    </w:rPr>
  </w:style>
  <w:style w:type="paragraph" w:customStyle="1" w:styleId="Nagwekspisutreci1">
    <w:name w:val="Nagłówek spisu treści1"/>
    <w:basedOn w:val="Nagwek1"/>
    <w:next w:val="Normalny"/>
    <w:uiPriority w:val="39"/>
    <w:qFormat/>
    <w:rsid w:val="00F652E5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noProof w:val="0"/>
      <w:color w:val="365F91"/>
      <w:kern w:val="0"/>
      <w:sz w:val="28"/>
      <w:szCs w:val="28"/>
      <w:lang w:val="en-US" w:eastAsia="ja-JP"/>
    </w:rPr>
  </w:style>
  <w:style w:type="paragraph" w:customStyle="1" w:styleId="ColorfulShading-Accent11">
    <w:name w:val="Colorful Shading - Accent 11"/>
    <w:hidden/>
    <w:uiPriority w:val="99"/>
    <w:semiHidden/>
    <w:rsid w:val="00F365B6"/>
    <w:rPr>
      <w:rFonts w:ascii="Verdana" w:hAnsi="Verdana" w:cs="Verdana"/>
      <w:sz w:val="18"/>
      <w:szCs w:val="18"/>
      <w:lang w:val="en-GB" w:eastAsia="zh-CN"/>
    </w:rPr>
  </w:style>
  <w:style w:type="character" w:styleId="HTML-staaszeroko">
    <w:name w:val="HTML Typewriter"/>
    <w:rsid w:val="0014168D"/>
    <w:rPr>
      <w:rFonts w:ascii="Courier New" w:hAnsi="Courier New" w:cs="Courier New"/>
      <w:sz w:val="20"/>
      <w:szCs w:val="20"/>
    </w:rPr>
  </w:style>
  <w:style w:type="numbering" w:styleId="Artykusekcja">
    <w:name w:val="Outline List 3"/>
    <w:basedOn w:val="Bezlisty"/>
    <w:rsid w:val="005626D5"/>
    <w:pPr>
      <w:numPr>
        <w:numId w:val="63"/>
      </w:numPr>
    </w:pPr>
  </w:style>
  <w:style w:type="character" w:customStyle="1" w:styleId="FootnotetextAgencyChar">
    <w:name w:val="Footnote text (Agency) Char"/>
    <w:link w:val="FootnotetextAgency"/>
    <w:rsid w:val="005626D5"/>
    <w:rPr>
      <w:rFonts w:ascii="Verdana" w:eastAsia="Verdana" w:hAnsi="Verdana" w:cs="Verdana"/>
      <w:sz w:val="15"/>
      <w:szCs w:val="18"/>
    </w:rPr>
  </w:style>
  <w:style w:type="paragraph" w:styleId="Data">
    <w:name w:val="Date"/>
    <w:basedOn w:val="Normalny"/>
    <w:next w:val="Normalny"/>
    <w:semiHidden/>
    <w:rsid w:val="00E51159"/>
  </w:style>
  <w:style w:type="paragraph" w:styleId="Mapadokumentu">
    <w:name w:val="Document Map"/>
    <w:basedOn w:val="Normalny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pise-mail">
    <w:name w:val="E-mail Signature"/>
    <w:basedOn w:val="Normalny"/>
    <w:semiHidden/>
    <w:rsid w:val="00E51159"/>
  </w:style>
  <w:style w:type="character" w:styleId="Uwydatnienie">
    <w:name w:val="Emphasis"/>
    <w:qFormat/>
    <w:rsid w:val="00E51159"/>
    <w:rPr>
      <w:i/>
      <w:iCs/>
    </w:rPr>
  </w:style>
  <w:style w:type="paragraph" w:styleId="Adresnakopercie">
    <w:name w:val="envelope address"/>
    <w:basedOn w:val="Normalny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dreszwrotnynakopercie">
    <w:name w:val="envelope return"/>
    <w:basedOn w:val="Normalny"/>
    <w:semiHidden/>
    <w:rsid w:val="00E51159"/>
    <w:rPr>
      <w:rFonts w:ascii="Arial" w:hAnsi="Arial" w:cs="Arial"/>
      <w:sz w:val="20"/>
      <w:szCs w:val="20"/>
    </w:rPr>
  </w:style>
  <w:style w:type="character" w:styleId="UyteHipercze">
    <w:name w:val="FollowedHyperlink"/>
    <w:semiHidden/>
    <w:rsid w:val="00E51159"/>
    <w:rPr>
      <w:color w:val="800080"/>
      <w:u w:val="single"/>
    </w:rPr>
  </w:style>
  <w:style w:type="paragraph" w:styleId="Nagwek">
    <w:name w:val="header"/>
    <w:basedOn w:val="Normalny"/>
    <w:link w:val="NagwekZnak"/>
    <w:rsid w:val="001A1995"/>
    <w:pPr>
      <w:tabs>
        <w:tab w:val="center" w:pos="4320"/>
        <w:tab w:val="right" w:pos="8640"/>
      </w:tabs>
    </w:pPr>
    <w:rPr>
      <w:rFonts w:cs="Times New Roman"/>
      <w:lang w:val="x-none"/>
    </w:rPr>
  </w:style>
  <w:style w:type="paragraph" w:customStyle="1" w:styleId="Table">
    <w:name w:val="Table"/>
    <w:basedOn w:val="Normalny"/>
    <w:uiPriority w:val="99"/>
    <w:rsid w:val="00DE2F01"/>
    <w:pPr>
      <w:keepLines/>
      <w:tabs>
        <w:tab w:val="left" w:pos="284"/>
      </w:tabs>
      <w:spacing w:before="40" w:after="20"/>
    </w:pPr>
    <w:rPr>
      <w:rFonts w:ascii="Arial" w:eastAsia="MS Mincho" w:hAnsi="Arial" w:cs="Times New Roman"/>
      <w:sz w:val="20"/>
      <w:szCs w:val="24"/>
      <w:lang w:val="en-US" w:eastAsia="ja-JP"/>
    </w:rPr>
  </w:style>
  <w:style w:type="character" w:customStyle="1" w:styleId="NagwekZnak">
    <w:name w:val="Nagłówek Znak"/>
    <w:link w:val="Nagwek"/>
    <w:rsid w:val="00335BE3"/>
    <w:rPr>
      <w:rFonts w:ascii="Verdana" w:hAnsi="Verdana" w:cs="Verdana"/>
      <w:sz w:val="18"/>
      <w:szCs w:val="18"/>
      <w:lang w:eastAsia="zh-CN"/>
    </w:rPr>
  </w:style>
  <w:style w:type="paragraph" w:customStyle="1" w:styleId="BodytextEMA">
    <w:name w:val="Body text (EMA)"/>
    <w:basedOn w:val="Normalny"/>
    <w:rsid w:val="00424B45"/>
    <w:pPr>
      <w:spacing w:after="140" w:line="280" w:lineRule="atLeast"/>
    </w:pPr>
    <w:rPr>
      <w:rFonts w:ascii="Times New Roman" w:eastAsia="Verdana" w:hAnsi="Times New Roman" w:cs="Times New Roman"/>
      <w:sz w:val="20"/>
      <w:szCs w:val="20"/>
      <w:lang w:eastAsia="en-GB"/>
    </w:rPr>
  </w:style>
  <w:style w:type="paragraph" w:customStyle="1" w:styleId="Default">
    <w:name w:val="Default"/>
    <w:basedOn w:val="Normalny"/>
    <w:rsid w:val="00A6109C"/>
    <w:pPr>
      <w:autoSpaceDE w:val="0"/>
      <w:autoSpaceDN w:val="0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character" w:customStyle="1" w:styleId="TabletextrowsAgencyChar">
    <w:name w:val="Table text rows (Agency) Char"/>
    <w:link w:val="TabletextrowsAgency"/>
    <w:uiPriority w:val="99"/>
    <w:locked/>
    <w:rsid w:val="00A6109C"/>
    <w:rPr>
      <w:rFonts w:ascii="Verdana" w:eastAsia="Times New Roman" w:hAnsi="Verdana" w:cs="Verdana"/>
      <w:sz w:val="18"/>
      <w:szCs w:val="18"/>
      <w:lang w:eastAsia="zh-CN"/>
    </w:rPr>
  </w:style>
  <w:style w:type="paragraph" w:customStyle="1" w:styleId="Poprawka1">
    <w:name w:val="Poprawka1"/>
    <w:hidden/>
    <w:uiPriority w:val="99"/>
    <w:semiHidden/>
    <w:rsid w:val="00440383"/>
    <w:rPr>
      <w:rFonts w:ascii="Verdana" w:hAnsi="Verdana" w:cs="Verdana"/>
      <w:sz w:val="18"/>
      <w:szCs w:val="18"/>
      <w:lang w:val="en-GB" w:eastAsia="zh-CN"/>
    </w:rPr>
  </w:style>
  <w:style w:type="character" w:customStyle="1" w:styleId="Heading1AgencyChar">
    <w:name w:val="Heading 1 (Agency) Char"/>
    <w:link w:val="Heading1Agency"/>
    <w:locked/>
    <w:rsid w:val="00722D14"/>
    <w:rPr>
      <w:rFonts w:ascii="Verdana" w:eastAsia="Verdana" w:hAnsi="Verdana" w:cs="Arial"/>
      <w:b/>
      <w:bCs/>
      <w:kern w:val="32"/>
      <w:sz w:val="27"/>
      <w:szCs w:val="27"/>
    </w:rPr>
  </w:style>
  <w:style w:type="table" w:styleId="Tabela-Efekty3D1">
    <w:name w:val="Table 3D effects 1"/>
    <w:basedOn w:val="Standardowy"/>
    <w:rsid w:val="007439C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rsid w:val="007439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cze">
    <w:name w:val="Hyperlink"/>
    <w:uiPriority w:val="99"/>
    <w:rsid w:val="00E51159"/>
    <w:rPr>
      <w:color w:val="0000FF"/>
      <w:u w:val="single"/>
    </w:rPr>
  </w:style>
  <w:style w:type="character" w:customStyle="1" w:styleId="Heading2AgencyChar">
    <w:name w:val="Heading 2 (Agency) Char"/>
    <w:link w:val="Heading2Agency"/>
    <w:rsid w:val="00B81C5C"/>
    <w:rPr>
      <w:rFonts w:ascii="Verdana" w:eastAsia="Verdana" w:hAnsi="Verdana" w:cs="Arial"/>
      <w:b/>
      <w:bCs/>
      <w:i/>
      <w:kern w:val="32"/>
      <w:sz w:val="22"/>
      <w:szCs w:val="22"/>
    </w:rPr>
  </w:style>
  <w:style w:type="character" w:customStyle="1" w:styleId="Heading3AgencyCharChar">
    <w:name w:val="Heading 3 (Agency) Char Char"/>
    <w:link w:val="Heading3Agency"/>
    <w:rsid w:val="008C75A2"/>
    <w:rPr>
      <w:rFonts w:ascii="Verdana" w:eastAsia="Verdana" w:hAnsi="Verdana" w:cs="Arial"/>
      <w:b/>
      <w:bCs/>
      <w:kern w:val="32"/>
      <w:sz w:val="22"/>
      <w:szCs w:val="22"/>
    </w:rPr>
  </w:style>
  <w:style w:type="character" w:customStyle="1" w:styleId="PageNumberAgency0">
    <w:name w:val="Page Number (Agency)"/>
    <w:rsid w:val="00073E98"/>
    <w:rPr>
      <w:rFonts w:ascii="Verdana" w:hAnsi="Verdana"/>
      <w:sz w:val="14"/>
    </w:rPr>
  </w:style>
  <w:style w:type="character" w:styleId="Numerwiersza">
    <w:name w:val="line number"/>
    <w:basedOn w:val="Domylnaczcionkaakapitu"/>
    <w:semiHidden/>
    <w:rsid w:val="00E51159"/>
  </w:style>
  <w:style w:type="paragraph" w:styleId="Tekstmakra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/>
    </w:rPr>
  </w:style>
  <w:style w:type="paragraph" w:styleId="NormalnyWeb">
    <w:name w:val="Normal (Web)"/>
    <w:basedOn w:val="Normalny"/>
    <w:semiHidden/>
    <w:rsid w:val="00E51159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semiHidden/>
    <w:rsid w:val="00E51159"/>
    <w:rPr>
      <w:rFonts w:ascii="Courier New" w:hAnsi="Courier New" w:cs="Courier New"/>
      <w:sz w:val="20"/>
      <w:szCs w:val="20"/>
    </w:rPr>
  </w:style>
  <w:style w:type="paragraph" w:styleId="Zwrotgrzecznociowy">
    <w:name w:val="Salutation"/>
    <w:basedOn w:val="Normalny"/>
    <w:next w:val="Normalny"/>
    <w:semiHidden/>
    <w:rsid w:val="00E51159"/>
  </w:style>
  <w:style w:type="character" w:styleId="Pogrubienie">
    <w:name w:val="Strong"/>
    <w:qFormat/>
    <w:rsid w:val="00E51159"/>
    <w:rPr>
      <w:b/>
      <w:bCs/>
    </w:rPr>
  </w:style>
  <w:style w:type="table" w:styleId="Tabela-Siatka">
    <w:name w:val="Table Grid"/>
    <w:basedOn w:val="Standardow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ykazrde">
    <w:name w:val="table of authorities"/>
    <w:basedOn w:val="Normalny"/>
    <w:next w:val="Normalny"/>
    <w:semiHidden/>
    <w:rsid w:val="00E51159"/>
    <w:pPr>
      <w:ind w:left="180" w:hanging="180"/>
    </w:pPr>
  </w:style>
  <w:style w:type="paragraph" w:styleId="Spisilustracji">
    <w:name w:val="table of figures"/>
    <w:basedOn w:val="Normalny"/>
    <w:next w:val="Normalny"/>
    <w:semiHidden/>
    <w:rsid w:val="00E51159"/>
  </w:style>
  <w:style w:type="paragraph" w:styleId="Nagwekwykazurde">
    <w:name w:val="toa heading"/>
    <w:basedOn w:val="Normalny"/>
    <w:next w:val="Normalny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96BF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Filenew\Agency\BLANK%20REPOR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DB4C53E3BEF5429BD4ACAD8B69B4A2" ma:contentTypeVersion="4" ma:contentTypeDescription="Create a new document." ma:contentTypeScope="" ma:versionID="5e23e65102babf4dcc1d18b9a53c92ee">
  <xsd:schema xmlns:xsd="http://www.w3.org/2001/XMLSchema" xmlns:xs="http://www.w3.org/2001/XMLSchema" xmlns:p="http://schemas.microsoft.com/office/2006/metadata/properties" xmlns:ns3="d983d323-9094-4046-b309-57f20aa5debb" targetNamespace="http://schemas.microsoft.com/office/2006/metadata/properties" ma:root="true" ma:fieldsID="72d93930fe3bcc72ecd55b7c6f56f5ab" ns3:_="">
    <xsd:import namespace="d983d323-9094-4046-b309-57f20aa5de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3d323-9094-4046-b309-57f20aa5d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315B3-AD56-438D-8266-30EEC50BA1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7AB72-B6B7-4584-AA28-9D7EDAFA3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3d323-9094-4046-b309-57f20aa5d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E53B7-9A4F-44AB-816E-56491144F4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REPORT</Template>
  <TotalTime>116</TotalTime>
  <Pages>10</Pages>
  <Words>3121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RMP template update rev 2</vt:lpstr>
    </vt:vector>
  </TitlesOfParts>
  <Company>European Medicines Agency</Company>
  <LinksUpToDate>false</LinksUpToDate>
  <CharactersWithSpaces>21807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RMP template update rev 2</dc:title>
  <dc:subject/>
  <dc:creator>European Medicines Agency</dc:creator>
  <cp:keywords/>
  <dc:description>Guidance on format of the RMP in the EU in integrated format</dc:description>
  <cp:lastModifiedBy>Grabczyńska-Gryziak Olga</cp:lastModifiedBy>
  <cp:revision>84</cp:revision>
  <cp:lastPrinted>2018-03-27T16:58:00Z</cp:lastPrinted>
  <dcterms:created xsi:type="dcterms:W3CDTF">2020-04-23T11:13:00Z</dcterms:created>
  <dcterms:modified xsi:type="dcterms:W3CDTF">2020-12-14T13:48:00Z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emea_filing_code">
    <vt:lpwstr> </vt:lpwstr>
  </property>
  <property fmtid="{D5CDD505-2E9C-101B-9397-08002B2CF9AE}" pid="3" name="DM_Version">
    <vt:lpwstr>CURRENT,1.28</vt:lpwstr>
  </property>
  <property fmtid="{D5CDD505-2E9C-101B-9397-08002B2CF9AE}" pid="4" name="DM_Name">
    <vt:lpwstr>RMP template update rev 2</vt:lpwstr>
  </property>
  <property fmtid="{D5CDD505-2E9C-101B-9397-08002B2CF9AE}" pid="5" name="DM_Creation_Date">
    <vt:lpwstr>25/02/2016 11:26:44</vt:lpwstr>
  </property>
  <property fmtid="{D5CDD505-2E9C-101B-9397-08002B2CF9AE}" pid="6" name="DM_Modify_Date">
    <vt:lpwstr>25/02/2016 11:26:44</vt:lpwstr>
  </property>
  <property fmtid="{D5CDD505-2E9C-101B-9397-08002B2CF9AE}" pid="7" name="DM_Creator_Name">
    <vt:lpwstr>Cochino Emil</vt:lpwstr>
  </property>
  <property fmtid="{D5CDD505-2E9C-101B-9397-08002B2CF9AE}" pid="8" name="DM_Modifier_Name">
    <vt:lpwstr>Cochino Emil</vt:lpwstr>
  </property>
  <property fmtid="{D5CDD505-2E9C-101B-9397-08002B2CF9AE}" pid="9" name="DM_Type">
    <vt:lpwstr>emea_document</vt:lpwstr>
  </property>
  <property fmtid="{D5CDD505-2E9C-101B-9397-08002B2CF9AE}" pid="10" name="DM_DocRefId">
    <vt:lpwstr>EMA/PRAC/613102/2015</vt:lpwstr>
  </property>
  <property fmtid="{D5CDD505-2E9C-101B-9397-08002B2CF9AE}" pid="11" name="DM_Category">
    <vt:lpwstr>Guideline</vt:lpwstr>
  </property>
  <property fmtid="{D5CDD505-2E9C-101B-9397-08002B2CF9AE}" pid="12" name="DM_Path">
    <vt:lpwstr>/13. Projects/zz. Closed projects 2004-2014/00305 - Implementation of the new legislative proposal on pharmacovigilance/Project Organisational Structure/Initial governance structure/Subproject Teams/5. Committees subproject team/Deliverables/PRAC TASKS IN</vt:lpwstr>
  </property>
  <property fmtid="{D5CDD505-2E9C-101B-9397-08002B2CF9AE}" pid="13" name="DM_emea_doc_ref_id">
    <vt:lpwstr>EMA/PRAC/613102/2015</vt:lpwstr>
  </property>
  <property fmtid="{D5CDD505-2E9C-101B-9397-08002B2CF9AE}" pid="14" name="DM_Modifer_Name">
    <vt:lpwstr>Cochino Emil</vt:lpwstr>
  </property>
  <property fmtid="{D5CDD505-2E9C-101B-9397-08002B2CF9AE}" pid="15" name="DM_Modified_Date">
    <vt:lpwstr>25/02/2016 11:26:44</vt:lpwstr>
  </property>
  <property fmtid="{D5CDD505-2E9C-101B-9397-08002B2CF9AE}" pid="16" name="ContentTypeId">
    <vt:lpwstr>0x0101009FDB4C53E3BEF5429BD4ACAD8B69B4A2</vt:lpwstr>
  </property>
</Properties>
</file>