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AB2" w:rsidRDefault="00342AB2" w:rsidP="00342AB2">
      <w:pPr>
        <w:pStyle w:val="Nagwek1"/>
        <w:spacing w:before="0"/>
        <w:rPr>
          <w:rFonts w:ascii="Times New Roman" w:hAnsi="Times New Roman" w:cs="Times New Roman"/>
          <w:color w:val="auto"/>
          <w:sz w:val="32"/>
          <w:szCs w:val="32"/>
        </w:rPr>
      </w:pPr>
      <w:bookmarkStart w:id="0" w:name="_Toc503347766"/>
      <w:bookmarkStart w:id="1" w:name="_Toc503348072"/>
      <w:bookmarkStart w:id="2" w:name="_Toc503348138"/>
      <w:r>
        <w:rPr>
          <w:rFonts w:ascii="Times New Roman" w:hAnsi="Times New Roman" w:cs="Times New Roman"/>
          <w:color w:val="auto"/>
          <w:sz w:val="32"/>
          <w:szCs w:val="32"/>
        </w:rPr>
        <w:t xml:space="preserve">Streszczenie </w:t>
      </w:r>
      <w:r w:rsidRPr="0072434C">
        <w:rPr>
          <w:rFonts w:ascii="Times New Roman" w:hAnsi="Times New Roman" w:cs="Times New Roman"/>
          <w:color w:val="auto"/>
          <w:sz w:val="32"/>
          <w:szCs w:val="32"/>
        </w:rPr>
        <w:t>Planu Zarządzania Ryzykiem</w:t>
      </w:r>
    </w:p>
    <w:p w:rsidR="00342AB2" w:rsidRPr="00013121" w:rsidRDefault="00342AB2" w:rsidP="00342AB2">
      <w:pPr>
        <w:rPr>
          <w:lang w:eastAsia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C0"/>
      </w:tblPr>
      <w:tblGrid>
        <w:gridCol w:w="4644"/>
        <w:gridCol w:w="4644"/>
      </w:tblGrid>
      <w:tr w:rsidR="00342AB2" w:rsidRPr="009D6138" w:rsidTr="00CE6551">
        <w:trPr>
          <w:trHeight w:val="962"/>
          <w:tblHeader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AB2" w:rsidRPr="007D0463" w:rsidRDefault="00342AB2" w:rsidP="00CE6551">
            <w:pPr>
              <w:pStyle w:val="TabletextrowsAgency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D046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Substancje czynne: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42AB2" w:rsidRPr="009D6138" w:rsidRDefault="00342AB2" w:rsidP="00CE6551">
            <w:pPr>
              <w:autoSpaceDE w:val="0"/>
              <w:autoSpaceDN w:val="0"/>
              <w:adjustRightInd w:val="0"/>
              <w:spacing w:line="360" w:lineRule="auto"/>
            </w:pP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Piracetamum</w:t>
            </w:r>
            <w:proofErr w:type="spellEnd"/>
          </w:p>
        </w:tc>
      </w:tr>
      <w:tr w:rsidR="00342AB2" w:rsidRPr="009D6138" w:rsidTr="00CE6551">
        <w:trPr>
          <w:trHeight w:val="820"/>
        </w:trPr>
        <w:tc>
          <w:tcPr>
            <w:tcW w:w="2500" w:type="pct"/>
            <w:vAlign w:val="center"/>
          </w:tcPr>
          <w:p w:rsidR="00342AB2" w:rsidRPr="007D0463" w:rsidRDefault="00342AB2" w:rsidP="00CE6551">
            <w:pPr>
              <w:pStyle w:val="TabletextrowsAgency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D046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Nazwy handlowe produktów, których dotyczy RMP:</w:t>
            </w:r>
          </w:p>
        </w:tc>
        <w:tc>
          <w:tcPr>
            <w:tcW w:w="2500" w:type="pct"/>
            <w:vAlign w:val="center"/>
          </w:tcPr>
          <w:p w:rsidR="00342AB2" w:rsidRPr="007D0463" w:rsidRDefault="00342AB2" w:rsidP="00CE6551">
            <w:pPr>
              <w:pStyle w:val="StyleTabletextrowsAgency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MemoniQ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, 1200 mg, tabletki powlekane</w:t>
            </w:r>
          </w:p>
        </w:tc>
      </w:tr>
      <w:tr w:rsidR="00342AB2" w:rsidRPr="009D6138" w:rsidTr="00CE6551">
        <w:trPr>
          <w:trHeight w:val="1134"/>
        </w:trPr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p w:rsidR="00342AB2" w:rsidRPr="007D0463" w:rsidRDefault="00342AB2" w:rsidP="00CE6551">
            <w:pPr>
              <w:pStyle w:val="TabletextrowsAgency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D046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Nazwa Podmiotu Odpowiedzialnego:</w:t>
            </w:r>
          </w:p>
          <w:p w:rsidR="00342AB2" w:rsidRPr="007D0463" w:rsidRDefault="00342AB2" w:rsidP="00CE6551">
            <w:pPr>
              <w:pStyle w:val="TabletextrowsAgency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p w:rsidR="00342AB2" w:rsidRPr="004B5062" w:rsidRDefault="00342AB2" w:rsidP="00CE6551">
            <w:pPr>
              <w:pStyle w:val="TabletextrowsAgency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B506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P.P.F. </w:t>
            </w:r>
            <w:proofErr w:type="spellStart"/>
            <w:r w:rsidRPr="004B506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HASCO-LEK</w:t>
            </w:r>
            <w:proofErr w:type="spellEnd"/>
            <w:r w:rsidRPr="004B506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S.A.</w:t>
            </w:r>
            <w:r w:rsidRPr="004B506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ul. Żmigrodzka 242 E</w:t>
            </w:r>
          </w:p>
          <w:p w:rsidR="00342AB2" w:rsidRPr="004B5062" w:rsidRDefault="00342AB2" w:rsidP="00CE6551">
            <w:pPr>
              <w:pStyle w:val="TabletextrowsAgency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B506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51-131 Wrocław</w:t>
            </w:r>
          </w:p>
        </w:tc>
      </w:tr>
    </w:tbl>
    <w:p w:rsidR="00342AB2" w:rsidRPr="00A17891" w:rsidRDefault="00342AB2" w:rsidP="00342AB2">
      <w:pPr>
        <w:pStyle w:val="BodytextAgency"/>
        <w:rPr>
          <w:rFonts w:ascii="Times New Roman" w:hAnsi="Times New Roman"/>
          <w:sz w:val="24"/>
          <w:szCs w:val="24"/>
        </w:rPr>
      </w:pPr>
    </w:p>
    <w:p w:rsidR="00342AB2" w:rsidRDefault="00342AB2" w:rsidP="00342AB2">
      <w:pPr>
        <w:pStyle w:val="BodytextAgency"/>
        <w:rPr>
          <w:rFonts w:ascii="Times New Roman" w:hAnsi="Times New Roman"/>
          <w:sz w:val="24"/>
          <w:szCs w:val="24"/>
        </w:rPr>
      </w:pPr>
    </w:p>
    <w:p w:rsidR="00342AB2" w:rsidRDefault="00342AB2" w:rsidP="00342AB2">
      <w:pPr>
        <w:pStyle w:val="BodytextAgency"/>
        <w:rPr>
          <w:rFonts w:ascii="Times New Roman" w:hAnsi="Times New Roman"/>
          <w:sz w:val="24"/>
          <w:szCs w:val="24"/>
        </w:rPr>
      </w:pPr>
      <w:r w:rsidRPr="00367FBF">
        <w:rPr>
          <w:noProof/>
          <w:lang w:val="pl-PL"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09.6pt;margin-top:9.35pt;width:126pt;height:2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">
            <v:textbox>
              <w:txbxContent>
                <w:p w:rsidR="00342AB2" w:rsidRPr="00496171" w:rsidRDefault="00342AB2" w:rsidP="00342AB2">
                  <w:pPr>
                    <w:pStyle w:val="BodytextAgency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30.06.2020</w:t>
                  </w:r>
                </w:p>
                <w:p w:rsidR="00342AB2" w:rsidRPr="00A17891" w:rsidRDefault="00342AB2" w:rsidP="00342AB2"/>
              </w:txbxContent>
            </v:textbox>
          </v:shape>
        </w:pict>
      </w:r>
    </w:p>
    <w:p w:rsidR="00342AB2" w:rsidRPr="00A17891" w:rsidRDefault="00342AB2" w:rsidP="00342AB2">
      <w:pPr>
        <w:pStyle w:val="BodytextAgency"/>
        <w:rPr>
          <w:rFonts w:ascii="Times New Roman" w:hAnsi="Times New Roman"/>
          <w:sz w:val="24"/>
          <w:szCs w:val="24"/>
        </w:rPr>
      </w:pPr>
      <w:r w:rsidRPr="00A17891">
        <w:rPr>
          <w:rFonts w:ascii="Times New Roman" w:hAnsi="Times New Roman"/>
          <w:sz w:val="24"/>
          <w:szCs w:val="24"/>
        </w:rPr>
        <w:t xml:space="preserve">Data lock point (dot. </w:t>
      </w:r>
      <w:proofErr w:type="spellStart"/>
      <w:r w:rsidRPr="00A17891">
        <w:rPr>
          <w:rFonts w:ascii="Times New Roman" w:hAnsi="Times New Roman"/>
          <w:sz w:val="24"/>
          <w:szCs w:val="24"/>
        </w:rPr>
        <w:t>modułu</w:t>
      </w:r>
      <w:proofErr w:type="spellEnd"/>
      <w:r w:rsidRPr="00A17891">
        <w:rPr>
          <w:rFonts w:ascii="Times New Roman" w:hAnsi="Times New Roman"/>
          <w:sz w:val="24"/>
          <w:szCs w:val="24"/>
        </w:rPr>
        <w:t>)</w:t>
      </w:r>
    </w:p>
    <w:p w:rsidR="00342AB2" w:rsidRPr="00A17891" w:rsidRDefault="00342AB2" w:rsidP="00342AB2">
      <w:pPr>
        <w:pStyle w:val="BodytextAgency"/>
        <w:rPr>
          <w:rFonts w:ascii="Times New Roman" w:hAnsi="Times New Roman"/>
          <w:sz w:val="24"/>
          <w:szCs w:val="24"/>
        </w:rPr>
      </w:pPr>
      <w:r w:rsidRPr="00367FBF">
        <w:rPr>
          <w:noProof/>
          <w:lang w:val="pl-PL" w:eastAsia="pl-PL"/>
        </w:rPr>
        <w:pict>
          <v:shape id="_x0000_s1027" type="#_x0000_t202" style="position:absolute;margin-left:309.6pt;margin-top:11pt;width:128.1pt;height:22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">
            <v:textbox>
              <w:txbxContent>
                <w:p w:rsidR="00342AB2" w:rsidRPr="00342AB2" w:rsidRDefault="00342AB2" w:rsidP="00342AB2">
                  <w:pPr>
                    <w:pStyle w:val="BodytextAgency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pl-PL"/>
                    </w:rPr>
                  </w:pPr>
                  <w:r>
                    <w:rPr>
                      <w:rStyle w:val="Tekstzastpczy1"/>
                      <w:rFonts w:ascii="Times New Roman" w:hAnsi="Times New Roman"/>
                      <w:color w:val="auto"/>
                      <w:sz w:val="24"/>
                      <w:szCs w:val="24"/>
                      <w:lang w:val="pl-PL"/>
                    </w:rPr>
                    <w:t>2.1</w:t>
                  </w:r>
                </w:p>
              </w:txbxContent>
            </v:textbox>
          </v:shape>
        </w:pict>
      </w:r>
    </w:p>
    <w:p w:rsidR="00342AB2" w:rsidRPr="00A17891" w:rsidRDefault="00342AB2" w:rsidP="00342AB2">
      <w:pPr>
        <w:pStyle w:val="BodytextAgency"/>
        <w:rPr>
          <w:rFonts w:ascii="Times New Roman" w:hAnsi="Times New Roman"/>
          <w:sz w:val="24"/>
          <w:szCs w:val="24"/>
          <w:lang w:val="pl-PL"/>
        </w:rPr>
      </w:pPr>
      <w:r w:rsidRPr="00A17891">
        <w:rPr>
          <w:rFonts w:ascii="Times New Roman" w:hAnsi="Times New Roman"/>
          <w:sz w:val="24"/>
          <w:szCs w:val="24"/>
          <w:lang w:val="pl-PL"/>
        </w:rPr>
        <w:t>Numer wersji RMP, w której ostatnio aktualizowano moduł</w:t>
      </w:r>
    </w:p>
    <w:p w:rsidR="00342AB2" w:rsidRDefault="00342AB2" w:rsidP="00342AB2">
      <w:pPr>
        <w:pStyle w:val="Nagwek2"/>
        <w:jc w:val="center"/>
      </w:pPr>
    </w:p>
    <w:p w:rsidR="00342AB2" w:rsidRPr="00C5521D" w:rsidRDefault="00342AB2" w:rsidP="00342AB2">
      <w:pPr>
        <w:pStyle w:val="Nagwek2"/>
        <w:jc w:val="center"/>
      </w:pPr>
      <w:r w:rsidRPr="00C5521D">
        <w:t xml:space="preserve">Streszczenie Planu Zarządzania Ryzykiem </w:t>
      </w:r>
      <w:proofErr w:type="spellStart"/>
      <w:r w:rsidRPr="00C5521D">
        <w:t>dla</w:t>
      </w:r>
      <w:proofErr w:type="spellEnd"/>
      <w:r w:rsidRPr="00C5521D">
        <w:t xml:space="preserve"> </w:t>
      </w:r>
      <w:bookmarkEnd w:id="0"/>
      <w:bookmarkEnd w:id="1"/>
      <w:bookmarkEnd w:id="2"/>
      <w:r w:rsidRPr="00C5521D">
        <w:t xml:space="preserve">produktu leczniczego </w:t>
      </w:r>
      <w:proofErr w:type="spellStart"/>
      <w:r>
        <w:t>MemoniQ</w:t>
      </w:r>
      <w:proofErr w:type="spellEnd"/>
      <w:r>
        <w:t>, 1200 mg, tabletki powlekane</w:t>
      </w:r>
    </w:p>
    <w:p w:rsidR="00342AB2" w:rsidRDefault="00342AB2" w:rsidP="00342AB2">
      <w:pPr>
        <w:spacing w:line="360" w:lineRule="auto"/>
        <w:rPr>
          <w:lang w:eastAsia="zh-CN"/>
        </w:rPr>
      </w:pPr>
    </w:p>
    <w:p w:rsidR="00342AB2" w:rsidRPr="00642F42" w:rsidRDefault="00342AB2" w:rsidP="00342AB2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 xml:space="preserve">To jest streszczenie planu zarządzania ryzykiem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produktu leczniczego</w:t>
      </w:r>
      <w:r w:rsidRPr="00642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. Dokument opisuje w szczegółowy sposób istotne ryzyka związane ze stosowaniem </w:t>
      </w:r>
      <w:r>
        <w:rPr>
          <w:rFonts w:ascii="Times New Roman" w:hAnsi="Times New Roman" w:cs="Times New Roman"/>
          <w:sz w:val="24"/>
          <w:szCs w:val="24"/>
        </w:rPr>
        <w:t xml:space="preserve">produktu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, w jaki sposób ryzyko można ograniczyć i jak pozyskać więcej informacji o zagrożeniach i danych na temat brakujących informacji związanych z przyjmowaniem </w:t>
      </w:r>
      <w:r>
        <w:rPr>
          <w:rFonts w:ascii="Times New Roman" w:hAnsi="Times New Roman" w:cs="Times New Roman"/>
          <w:sz w:val="24"/>
          <w:szCs w:val="24"/>
        </w:rPr>
        <w:t xml:space="preserve">produktu leczniczego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>.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 xml:space="preserve">Charakterystyka produktu leczniczego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i ulotka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pacjenta zawierają najważniejsze informacje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osób wykonujących zawody medyczne i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pacjentów, jak </w:t>
      </w:r>
      <w:r>
        <w:rPr>
          <w:rFonts w:ascii="Times New Roman" w:hAnsi="Times New Roman" w:cs="Times New Roman"/>
          <w:sz w:val="24"/>
          <w:szCs w:val="24"/>
        </w:rPr>
        <w:t xml:space="preserve">produkt leczniczy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powinien być stosowany</w:t>
      </w:r>
      <w:r w:rsidRPr="00642F42">
        <w:rPr>
          <w:rFonts w:ascii="Times New Roman" w:hAnsi="Times New Roman" w:cs="Times New Roman"/>
          <w:sz w:val="24"/>
          <w:szCs w:val="24"/>
        </w:rPr>
        <w:t>.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 xml:space="preserve">Ważne nowe zagadnienia lub zmiany odnoszące się do już opisanych kwestii powinny zostać zawarte w aktualizacji RMP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produktu leczniczego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>.</w:t>
      </w:r>
    </w:p>
    <w:p w:rsidR="00342AB2" w:rsidRPr="00642F42" w:rsidRDefault="00342AB2" w:rsidP="00342AB2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42F42">
        <w:rPr>
          <w:rFonts w:ascii="Times New Roman" w:hAnsi="Times New Roman" w:cs="Times New Roman"/>
          <w:b/>
          <w:sz w:val="28"/>
          <w:szCs w:val="28"/>
        </w:rPr>
        <w:t>Informacje o produkcie i wskazaniach do jego stosowania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Produkt leczniczy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zarejestrowan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642F42">
        <w:rPr>
          <w:rFonts w:ascii="Times New Roman" w:hAnsi="Times New Roman" w:cs="Times New Roman"/>
          <w:sz w:val="24"/>
          <w:szCs w:val="24"/>
        </w:rPr>
        <w:t xml:space="preserve"> do stosowania we wskazaniu</w:t>
      </w:r>
      <w:r>
        <w:rPr>
          <w:rFonts w:ascii="Times New Roman" w:hAnsi="Times New Roman" w:cs="Times New Roman"/>
          <w:sz w:val="24"/>
          <w:szCs w:val="24"/>
        </w:rPr>
        <w:t xml:space="preserve">: leczenie </w:t>
      </w:r>
      <w:proofErr w:type="spellStart"/>
      <w:r>
        <w:rPr>
          <w:rFonts w:ascii="Times New Roman" w:hAnsi="Times New Roman" w:cs="Times New Roman"/>
          <w:sz w:val="24"/>
          <w:szCs w:val="24"/>
        </w:rPr>
        <w:t>mioklonii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pochodzenia korowego, leczenie zaburzeń dyslektycznych u </w:t>
      </w:r>
      <w:proofErr w:type="spellStart"/>
      <w:r>
        <w:rPr>
          <w:rFonts w:ascii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równocześnie z terapią logopedyczną, leczenie zawrotów głowy pochodzenia ośrodkowego i obwodowego.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Produkt leczniczy zawiera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piracetam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jako substancję czynną, podawany jest</w:t>
      </w:r>
      <w:r w:rsidRPr="00642F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doustnie.</w:t>
      </w:r>
    </w:p>
    <w:p w:rsidR="00342AB2" w:rsidRPr="0059189F" w:rsidRDefault="00342AB2" w:rsidP="00342AB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189F">
        <w:rPr>
          <w:rFonts w:ascii="Times New Roman" w:hAnsi="Times New Roman" w:cs="Times New Roman"/>
          <w:b/>
          <w:sz w:val="28"/>
          <w:szCs w:val="28"/>
        </w:rPr>
        <w:t>Ryzyko związane ze stosowanie produktu leczniczego i aktywności jakie należy podjąć w celu zmniejszenia ryzyka lub dalszego jego scharakteryzowania</w:t>
      </w:r>
    </w:p>
    <w:p w:rsidR="00342AB2" w:rsidRPr="00642F42" w:rsidRDefault="00342AB2" w:rsidP="00342AB2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 xml:space="preserve">Istotne ryzyka </w:t>
      </w:r>
      <w:r>
        <w:rPr>
          <w:rFonts w:ascii="Times New Roman" w:hAnsi="Times New Roman" w:cs="Times New Roman"/>
          <w:sz w:val="24"/>
          <w:szCs w:val="24"/>
        </w:rPr>
        <w:t xml:space="preserve">produktu leczniczego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>,</w:t>
      </w:r>
      <w:r w:rsidRPr="00642F42">
        <w:rPr>
          <w:rFonts w:ascii="Times New Roman" w:hAnsi="Times New Roman" w:cs="Times New Roman"/>
          <w:sz w:val="24"/>
        </w:rPr>
        <w:t xml:space="preserve"> łącznie z działaniami podejmowanymi w celu zmniejszenia tych ryzyk i propozycje badań umożliwiających lepsze poznanie zagrożeń związanych ze stosowaniem </w:t>
      </w:r>
      <w:r>
        <w:rPr>
          <w:rFonts w:ascii="Times New Roman" w:hAnsi="Times New Roman" w:cs="Times New Roman"/>
          <w:sz w:val="24"/>
        </w:rPr>
        <w:t xml:space="preserve">produktu leczniczego </w:t>
      </w:r>
      <w:proofErr w:type="spellStart"/>
      <w:r>
        <w:rPr>
          <w:rFonts w:ascii="Times New Roman" w:hAnsi="Times New Roman" w:cs="Times New Roman"/>
          <w:sz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>, wymieniono poniżej.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>Działania podejmowane w celu zmniejszenia ryzyka to: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>● Specjalne informacje, takie jak ostrzeżenia i specjalne środki ostrożności, zalecenia odnoszące się do prawidłowego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2F42">
        <w:rPr>
          <w:rFonts w:ascii="Times New Roman" w:hAnsi="Times New Roman" w:cs="Times New Roman"/>
          <w:sz w:val="24"/>
          <w:szCs w:val="24"/>
        </w:rPr>
        <w:t xml:space="preserve">sposobu stosowania, zamieszczone w ulotce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pacjenta, w Charakterystyce produktu leczniczego przeznaczonej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osób wykonujących zawody medyczne;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 xml:space="preserve">● Ważne zalecenia zamieszczone na opakowaniu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leku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>;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 xml:space="preserve">● Zatwierdzenie odpowiedniej wielkości opakowania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leku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>, zapewniające jego właściwe stosowanie;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 xml:space="preserve">● Nadanie właściwej kategorii dostępności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leku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– sposób w jaki pacjent nabywa lek (np. z lub bez recepty) może zminimalizować ryzyko związane z jego stosowaniem.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>Wszystkie te działania to rutynowe środki minimalizacji ryzyka.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>W uzupełnieniu do tych działań, regularnie gromadzi się i analizuje informacje o niepożądanych działaniach produktu leczniczego, aby w razie potrzeby niezwłocznie podjąć konieczne kroki. Działania te stanowią rutynowe aktywności nadzoru nad bezpieczeństwem farmakoterapii.</w:t>
      </w:r>
    </w:p>
    <w:p w:rsidR="00342AB2" w:rsidRPr="00642F4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 xml:space="preserve">Jeżeli brakuje jeszcze istotnych informacji, które mogłyby wpływać na bezpieczeństwo stosowania </w:t>
      </w:r>
      <w:r>
        <w:rPr>
          <w:rFonts w:ascii="Times New Roman" w:hAnsi="Times New Roman" w:cs="Times New Roman"/>
          <w:sz w:val="24"/>
          <w:szCs w:val="24"/>
        </w:rPr>
        <w:t xml:space="preserve">produktu leczniczego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>, są one wymienione poniżej jako „brakujące informacje”.</w:t>
      </w:r>
    </w:p>
    <w:p w:rsidR="00342AB2" w:rsidRDefault="00342AB2" w:rsidP="00342AB2">
      <w:pPr>
        <w:spacing w:line="360" w:lineRule="auto"/>
        <w:rPr>
          <w:rFonts w:ascii="Times New Roman" w:hAnsi="Times New Roman" w:cs="Times New Roman"/>
          <w:b/>
          <w:sz w:val="28"/>
          <w:szCs w:val="24"/>
          <w:lang w:eastAsia="zh-CN"/>
        </w:rPr>
      </w:pPr>
      <w:r>
        <w:rPr>
          <w:rFonts w:ascii="Times New Roman" w:hAnsi="Times New Roman" w:cs="Times New Roman"/>
          <w:b/>
          <w:sz w:val="28"/>
          <w:szCs w:val="24"/>
          <w:lang w:eastAsia="zh-CN"/>
        </w:rPr>
        <w:lastRenderedPageBreak/>
        <w:t>II.A Lista istotnych zagrożeń i brakujących informacji</w:t>
      </w:r>
    </w:p>
    <w:p w:rsidR="00342AB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42">
        <w:rPr>
          <w:rFonts w:ascii="Times New Roman" w:hAnsi="Times New Roman" w:cs="Times New Roman"/>
          <w:sz w:val="24"/>
          <w:szCs w:val="24"/>
        </w:rPr>
        <w:t xml:space="preserve">Istotne ryzyka związane ze stosowaniem </w:t>
      </w:r>
      <w:r>
        <w:rPr>
          <w:rFonts w:ascii="Times New Roman" w:hAnsi="Times New Roman" w:cs="Times New Roman"/>
          <w:sz w:val="24"/>
          <w:szCs w:val="24"/>
        </w:rPr>
        <w:t xml:space="preserve">produktu leczniczego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to ryzyka, które wymagają specjalnych działań z zakresu zarządzania ryzykiem, w celu dalszego zbadania lub podjęcia kroków minimalizujących ryzyko, w taki sposób żeby produkt leczniczy mógł być bezpiecznie przyjmowany. Istotne ryzyka mogą odnosić się do ryzyka zidentyfikowanego lub potencjalnego. Zidentyfikowane ryzyka odnoszą się do sytuacji, w których w wystarczający sposób możemy udowodnić zależność ryzyka od stosowania produkt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642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MemoniQ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. Potencjalne ryzyka odnoszą się do sytuacji, w których związek zagrożenia ze stosowaniem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leku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 jest oceniany jako możliwy, po wzięciu pod uwagę dostępnych danych, ale ten związek nie jest dotychczas w pełni ustalony i wymaga dalszej oceny. Brakujące informacje odnoszą się do informacji dotyczących bezpieczeństwa stosowania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leku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 xml:space="preserve">, których obecnie brakuje i wymagają zgromadzenia niezbędnych danych (np. dotyczące bezpieczeństwa podczas długotrwałego stosowania </w:t>
      </w:r>
      <w:proofErr w:type="spellStart"/>
      <w:r w:rsidRPr="00642F42">
        <w:rPr>
          <w:rFonts w:ascii="Times New Roman" w:hAnsi="Times New Roman" w:cs="Times New Roman"/>
          <w:sz w:val="24"/>
          <w:szCs w:val="24"/>
        </w:rPr>
        <w:t>leku</w:t>
      </w:r>
      <w:proofErr w:type="spellEnd"/>
      <w:r w:rsidRPr="00642F42">
        <w:rPr>
          <w:rFonts w:ascii="Times New Roman" w:hAnsi="Times New Roman" w:cs="Times New Roman"/>
          <w:sz w:val="24"/>
          <w:szCs w:val="24"/>
        </w:rPr>
        <w:t>).</w:t>
      </w:r>
    </w:p>
    <w:p w:rsidR="00342AB2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5E0"/>
      </w:tblPr>
      <w:tblGrid>
        <w:gridCol w:w="2801"/>
        <w:gridCol w:w="6487"/>
      </w:tblGrid>
      <w:tr w:rsidR="00342AB2" w:rsidRPr="00547F5A" w:rsidTr="00CE6551">
        <w:trPr>
          <w:trHeight w:val="472"/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AB2" w:rsidRPr="001B7157" w:rsidRDefault="00342AB2" w:rsidP="00CE655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157">
              <w:rPr>
                <w:rFonts w:ascii="Times New Roman" w:hAnsi="Times New Roman" w:cs="Times New Roman"/>
                <w:b/>
                <w:sz w:val="24"/>
                <w:szCs w:val="24"/>
              </w:rPr>
              <w:t>Podsumowanie zagrożeń</w:t>
            </w:r>
          </w:p>
        </w:tc>
      </w:tr>
      <w:tr w:rsidR="00342AB2" w:rsidRPr="00FA17D2" w:rsidTr="00CE6551">
        <w:trPr>
          <w:trHeight w:val="583"/>
        </w:trPr>
        <w:tc>
          <w:tcPr>
            <w:tcW w:w="150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AB2" w:rsidRPr="00F020E4" w:rsidRDefault="00342AB2" w:rsidP="00CE6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r w:rsidRPr="00F020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stotne zidentyfikowane ryzyka</w:t>
            </w:r>
          </w:p>
        </w:tc>
        <w:tc>
          <w:tcPr>
            <w:tcW w:w="3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42AB2" w:rsidRPr="00963484" w:rsidRDefault="00342AB2" w:rsidP="00CE6551">
            <w:pPr>
              <w:spacing w:after="0"/>
              <w:rPr>
                <w:rFonts w:ascii="Times New Roman" w:hAnsi="Times New Roman" w:cs="Times New Roman"/>
                <w:iCs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iCs/>
                <w:sz w:val="24"/>
                <w:lang w:eastAsia="en-GB"/>
              </w:rPr>
              <w:t xml:space="preserve">Brak </w:t>
            </w:r>
          </w:p>
        </w:tc>
      </w:tr>
      <w:tr w:rsidR="00342AB2" w:rsidRPr="00FA17D2" w:rsidTr="00CE6551">
        <w:tc>
          <w:tcPr>
            <w:tcW w:w="150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AB2" w:rsidRPr="00F020E4" w:rsidRDefault="00342AB2" w:rsidP="00CE6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020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Istotne potencjalne ryzyka</w:t>
            </w:r>
          </w:p>
        </w:tc>
        <w:tc>
          <w:tcPr>
            <w:tcW w:w="3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42AB2" w:rsidRPr="008B2706" w:rsidRDefault="00342AB2" w:rsidP="00CE655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Brak</w:t>
            </w:r>
          </w:p>
        </w:tc>
      </w:tr>
      <w:tr w:rsidR="00342AB2" w:rsidRPr="00FA17D2" w:rsidTr="00CE6551">
        <w:tc>
          <w:tcPr>
            <w:tcW w:w="150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42AB2" w:rsidRPr="00F020E4" w:rsidRDefault="00342AB2" w:rsidP="00CE6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020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Brakujące informacje</w:t>
            </w:r>
          </w:p>
        </w:tc>
        <w:tc>
          <w:tcPr>
            <w:tcW w:w="349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42AB2" w:rsidRDefault="00342AB2" w:rsidP="00CE655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Brak</w:t>
            </w:r>
          </w:p>
        </w:tc>
      </w:tr>
    </w:tbl>
    <w:p w:rsidR="00342AB2" w:rsidRDefault="00342AB2" w:rsidP="00342A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342AB2" w:rsidRDefault="00342AB2" w:rsidP="00342A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II.B Podsumowanie istotnych zagrożeń</w:t>
      </w:r>
    </w:p>
    <w:p w:rsidR="00342AB2" w:rsidRPr="00FE3449" w:rsidRDefault="00342AB2" w:rsidP="00342AB2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Nie dotyczy</w:t>
      </w:r>
    </w:p>
    <w:p w:rsidR="00342AB2" w:rsidRDefault="00342AB2" w:rsidP="00342AB2">
      <w:pPr>
        <w:spacing w:line="36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28"/>
        </w:rPr>
        <w:t>II.C Plan przewidywanego rozwoju po dopuszczeniu produktu do obrotu</w:t>
      </w:r>
    </w:p>
    <w:p w:rsidR="00342AB2" w:rsidRPr="007A660E" w:rsidRDefault="00342AB2" w:rsidP="00342AB2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7A660E">
        <w:rPr>
          <w:rFonts w:ascii="Times New Roman" w:hAnsi="Times New Roman" w:cs="Times New Roman"/>
          <w:b/>
          <w:sz w:val="24"/>
        </w:rPr>
        <w:t xml:space="preserve">II.C.1 </w:t>
      </w:r>
      <w:r>
        <w:rPr>
          <w:rFonts w:ascii="Times New Roman" w:hAnsi="Times New Roman" w:cs="Times New Roman"/>
          <w:b/>
          <w:sz w:val="24"/>
        </w:rPr>
        <w:t>Badania, których przeprowadzenie stanowi warunek uzyskania pozwolenia na dopuszczenie do obrotu produktu leczniczego</w:t>
      </w:r>
    </w:p>
    <w:p w:rsidR="00342AB2" w:rsidRPr="00EA6203" w:rsidRDefault="00342AB2" w:rsidP="00342AB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Brak badań będących warunkami na wydanie pozwolenia na dopuszczenie do obrotu produktów leczniczych albo specjalnych zobowiązań względem </w:t>
      </w:r>
      <w:proofErr w:type="spellStart"/>
      <w:r>
        <w:rPr>
          <w:rFonts w:ascii="Times New Roman" w:hAnsi="Times New Roman" w:cs="Times New Roman"/>
          <w:sz w:val="24"/>
        </w:rPr>
        <w:t>MemoniQ</w:t>
      </w:r>
      <w:proofErr w:type="spellEnd"/>
      <w:r>
        <w:rPr>
          <w:rFonts w:ascii="Times New Roman" w:hAnsi="Times New Roman" w:cs="Times New Roman"/>
          <w:sz w:val="24"/>
        </w:rPr>
        <w:t xml:space="preserve">. Produkty lecznicze w trakcie procesu rejestracji. </w:t>
      </w:r>
    </w:p>
    <w:p w:rsidR="00342AB2" w:rsidRPr="007A660E" w:rsidRDefault="00342AB2" w:rsidP="00342AB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7A660E">
        <w:rPr>
          <w:rFonts w:ascii="Times New Roman" w:hAnsi="Times New Roman" w:cs="Times New Roman"/>
          <w:b/>
          <w:sz w:val="24"/>
        </w:rPr>
        <w:t xml:space="preserve">II.C.2 Inne </w:t>
      </w:r>
      <w:r>
        <w:rPr>
          <w:rFonts w:ascii="Times New Roman" w:hAnsi="Times New Roman" w:cs="Times New Roman"/>
          <w:b/>
          <w:sz w:val="24"/>
        </w:rPr>
        <w:t xml:space="preserve">badania </w:t>
      </w:r>
      <w:proofErr w:type="spellStart"/>
      <w:r>
        <w:rPr>
          <w:rFonts w:ascii="Times New Roman" w:hAnsi="Times New Roman" w:cs="Times New Roman"/>
          <w:b/>
          <w:sz w:val="24"/>
        </w:rPr>
        <w:t>porejestracyjne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uwzględnione w planie rozwoju produktu leczniczego</w:t>
      </w:r>
    </w:p>
    <w:p w:rsidR="00342AB2" w:rsidRDefault="00342AB2" w:rsidP="00342AB2">
      <w:pPr>
        <w:spacing w:before="24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Brak badań wymaganych </w:t>
      </w:r>
      <w:proofErr w:type="spellStart"/>
      <w:r>
        <w:rPr>
          <w:rFonts w:ascii="Times New Roman" w:hAnsi="Times New Roman" w:cs="Times New Roman"/>
          <w:sz w:val="24"/>
        </w:rPr>
        <w:t>dla</w:t>
      </w:r>
      <w:proofErr w:type="spellEnd"/>
      <w:r>
        <w:rPr>
          <w:rFonts w:ascii="Times New Roman" w:hAnsi="Times New Roman" w:cs="Times New Roman"/>
          <w:sz w:val="24"/>
        </w:rPr>
        <w:t xml:space="preserve"> produktu leczniczego </w:t>
      </w:r>
      <w:proofErr w:type="spellStart"/>
      <w:r>
        <w:rPr>
          <w:rFonts w:ascii="Times New Roman" w:hAnsi="Times New Roman" w:cs="Times New Roman"/>
          <w:sz w:val="24"/>
        </w:rPr>
        <w:t>MemoniQ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:rsidR="00387EFA" w:rsidRDefault="00387EFA"/>
    <w:sectPr w:rsidR="00387EFA" w:rsidSect="00387E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21A" w:rsidRDefault="0093621A" w:rsidP="00342AB2">
      <w:pPr>
        <w:spacing w:after="0" w:line="240" w:lineRule="auto"/>
      </w:pPr>
      <w:r>
        <w:separator/>
      </w:r>
    </w:p>
  </w:endnote>
  <w:endnote w:type="continuationSeparator" w:id="0">
    <w:p w:rsidR="0093621A" w:rsidRDefault="0093621A" w:rsidP="0034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21A" w:rsidRDefault="0093621A" w:rsidP="00342AB2">
      <w:pPr>
        <w:spacing w:after="0" w:line="240" w:lineRule="auto"/>
      </w:pPr>
      <w:r>
        <w:separator/>
      </w:r>
    </w:p>
  </w:footnote>
  <w:footnote w:type="continuationSeparator" w:id="0">
    <w:p w:rsidR="0093621A" w:rsidRDefault="0093621A" w:rsidP="00342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B2" w:rsidRPr="006E1555" w:rsidRDefault="00342AB2" w:rsidP="00342AB2">
    <w:pPr>
      <w:pStyle w:val="Nagwek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Plan Zarządzania Ryzykiem RMP </w:t>
    </w:r>
    <w:proofErr w:type="spellStart"/>
    <w:r>
      <w:rPr>
        <w:rFonts w:ascii="Times New Roman" w:hAnsi="Times New Roman" w:cs="Times New Roman"/>
        <w:sz w:val="18"/>
        <w:szCs w:val="18"/>
      </w:rPr>
      <w:t>dla</w:t>
    </w:r>
    <w:proofErr w:type="spellEnd"/>
    <w:r>
      <w:rPr>
        <w:rFonts w:ascii="Times New Roman" w:hAnsi="Times New Roman" w:cs="Times New Roman"/>
        <w:sz w:val="18"/>
        <w:szCs w:val="18"/>
      </w:rPr>
      <w:t xml:space="preserve"> produktu leczniczego </w:t>
    </w:r>
    <w:proofErr w:type="spellStart"/>
    <w:r>
      <w:rPr>
        <w:rFonts w:ascii="Times New Roman" w:hAnsi="Times New Roman" w:cs="Times New Roman"/>
        <w:sz w:val="18"/>
        <w:szCs w:val="18"/>
      </w:rPr>
      <w:t>MemoniQ</w:t>
    </w:r>
    <w:proofErr w:type="spellEnd"/>
    <w:r>
      <w:rPr>
        <w:rFonts w:ascii="Times New Roman" w:hAnsi="Times New Roman" w:cs="Times New Roman"/>
        <w:sz w:val="18"/>
        <w:szCs w:val="18"/>
      </w:rPr>
      <w:t>, 1200 mg, tabletki powlekane, wersja 2.1</w:t>
    </w:r>
  </w:p>
  <w:p w:rsidR="00342AB2" w:rsidRDefault="00342AB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175"/>
    <w:multiLevelType w:val="hybridMultilevel"/>
    <w:tmpl w:val="8B049E38"/>
    <w:lvl w:ilvl="0" w:tplc="032AD2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2AB2"/>
    <w:rsid w:val="00034E69"/>
    <w:rsid w:val="00090CB3"/>
    <w:rsid w:val="0009781C"/>
    <w:rsid w:val="00147CF0"/>
    <w:rsid w:val="00191EFA"/>
    <w:rsid w:val="001B57ED"/>
    <w:rsid w:val="002E5604"/>
    <w:rsid w:val="00342AB2"/>
    <w:rsid w:val="00387EFA"/>
    <w:rsid w:val="003F5051"/>
    <w:rsid w:val="005917F0"/>
    <w:rsid w:val="00677C8D"/>
    <w:rsid w:val="006A5D92"/>
    <w:rsid w:val="008306AE"/>
    <w:rsid w:val="00847F50"/>
    <w:rsid w:val="008814DA"/>
    <w:rsid w:val="008D6700"/>
    <w:rsid w:val="0093621A"/>
    <w:rsid w:val="00957C18"/>
    <w:rsid w:val="00973E36"/>
    <w:rsid w:val="009D1294"/>
    <w:rsid w:val="00B22F9D"/>
    <w:rsid w:val="00B426EF"/>
    <w:rsid w:val="00BD1C6E"/>
    <w:rsid w:val="00EE5658"/>
    <w:rsid w:val="00F95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AB2"/>
  </w:style>
  <w:style w:type="paragraph" w:styleId="Nagwek1">
    <w:name w:val="heading 1"/>
    <w:basedOn w:val="Normalny"/>
    <w:next w:val="Normalny"/>
    <w:link w:val="Nagwek1Znak"/>
    <w:uiPriority w:val="9"/>
    <w:qFormat/>
    <w:rsid w:val="00342A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2A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42A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342AB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42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textAgency">
    <w:name w:val="Body text (Agency)"/>
    <w:basedOn w:val="Normalny"/>
    <w:link w:val="BodytextAgencyChar"/>
    <w:uiPriority w:val="99"/>
    <w:rsid w:val="00342AB2"/>
    <w:pPr>
      <w:spacing w:after="140" w:line="280" w:lineRule="atLeast"/>
    </w:pPr>
    <w:rPr>
      <w:rFonts w:ascii="Verdana" w:eastAsia="Calibri" w:hAnsi="Verdana" w:cs="Times New Roman"/>
      <w:sz w:val="18"/>
      <w:szCs w:val="18"/>
      <w:lang w:val="en-GB" w:eastAsia="en-GB"/>
    </w:rPr>
  </w:style>
  <w:style w:type="paragraph" w:customStyle="1" w:styleId="TabletextrowsAgency">
    <w:name w:val="Table text rows (Agency)"/>
    <w:basedOn w:val="Normalny"/>
    <w:uiPriority w:val="99"/>
    <w:semiHidden/>
    <w:rsid w:val="00342AB2"/>
    <w:pPr>
      <w:spacing w:after="0" w:line="280" w:lineRule="exact"/>
    </w:pPr>
    <w:rPr>
      <w:rFonts w:ascii="Verdana" w:eastAsia="Times New Roman" w:hAnsi="Verdana" w:cs="Verdana"/>
      <w:sz w:val="18"/>
      <w:szCs w:val="18"/>
      <w:lang w:val="en-GB" w:eastAsia="zh-CN"/>
    </w:rPr>
  </w:style>
  <w:style w:type="character" w:customStyle="1" w:styleId="BodytextAgencyChar">
    <w:name w:val="Body text (Agency) Char"/>
    <w:link w:val="BodytextAgency"/>
    <w:uiPriority w:val="99"/>
    <w:locked/>
    <w:rsid w:val="00342AB2"/>
    <w:rPr>
      <w:rFonts w:ascii="Verdana" w:eastAsia="Calibri" w:hAnsi="Verdana" w:cs="Times New Roman"/>
      <w:sz w:val="18"/>
      <w:szCs w:val="18"/>
      <w:lang w:val="en-GB" w:eastAsia="en-GB"/>
    </w:rPr>
  </w:style>
  <w:style w:type="character" w:customStyle="1" w:styleId="Tekstzastpczy1">
    <w:name w:val="Tekst zastępczy1"/>
    <w:uiPriority w:val="99"/>
    <w:semiHidden/>
    <w:rsid w:val="00342AB2"/>
    <w:rPr>
      <w:color w:val="808080"/>
    </w:rPr>
  </w:style>
  <w:style w:type="paragraph" w:customStyle="1" w:styleId="StyleTabletextrowsAgency">
    <w:name w:val="Style Table text rows (Agency)"/>
    <w:basedOn w:val="TabletextrowsAgency"/>
    <w:uiPriority w:val="99"/>
    <w:rsid w:val="00342AB2"/>
    <w:rPr>
      <w:sz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42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2AB2"/>
  </w:style>
  <w:style w:type="paragraph" w:styleId="Stopka">
    <w:name w:val="footer"/>
    <w:basedOn w:val="Normalny"/>
    <w:link w:val="StopkaZnak"/>
    <w:uiPriority w:val="99"/>
    <w:semiHidden/>
    <w:unhideWhenUsed/>
    <w:rsid w:val="00342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42A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691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joanna.szymanska</dc:creator>
  <cp:lastModifiedBy>joanna.szymanska</cp:lastModifiedBy>
  <cp:revision>1</cp:revision>
  <dcterms:created xsi:type="dcterms:W3CDTF">2020-07-22T10:51:00Z</dcterms:created>
  <dcterms:modified xsi:type="dcterms:W3CDTF">2020-07-22T11:00:00Z</dcterms:modified>
</cp:coreProperties>
</file>