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8349" w14:textId="3B911FF3" w:rsidR="004745CC" w:rsidRPr="005D77FC" w:rsidRDefault="0043494D" w:rsidP="004745CC">
      <w:pPr>
        <w:rPr>
          <w:rFonts w:eastAsia="Times New Roman" w:cs="Times New Roman"/>
          <w:color w:val="003399"/>
          <w:sz w:val="28"/>
          <w:szCs w:val="28"/>
          <w:lang w:val="pl-PL" w:eastAsia="fr-LU"/>
        </w:rPr>
      </w:pPr>
      <w:r w:rsidRPr="005D77FC">
        <w:rPr>
          <w:rFonts w:eastAsia="Times New Roman" w:cs="Times New Roman"/>
          <w:color w:val="003399"/>
          <w:sz w:val="28"/>
          <w:szCs w:val="28"/>
          <w:lang w:val="pl-PL" w:eastAsia="fr-LU"/>
        </w:rPr>
        <w:t xml:space="preserve">Streszczenie planu zarządzania ryzykiem dla produktu leczniczego </w:t>
      </w:r>
      <w:r w:rsidR="004745CC" w:rsidRPr="005D77FC">
        <w:rPr>
          <w:rFonts w:eastAsia="Times New Roman" w:cs="Times New Roman"/>
          <w:color w:val="003399"/>
          <w:sz w:val="28"/>
          <w:szCs w:val="28"/>
          <w:lang w:val="pl-PL" w:eastAsia="fr-LU"/>
        </w:rPr>
        <w:t>Penicryl (</w:t>
      </w:r>
      <w:r w:rsidR="004745CC" w:rsidRPr="005D77FC">
        <w:rPr>
          <w:rFonts w:eastAsia="Times New Roman" w:cs="Times New Roman"/>
          <w:i/>
          <w:color w:val="003399"/>
          <w:sz w:val="28"/>
          <w:szCs w:val="28"/>
          <w:lang w:val="pl-PL" w:eastAsia="fr-LU"/>
        </w:rPr>
        <w:t>Benzylpenicillin potassium</w:t>
      </w:r>
      <w:r w:rsidR="004745CC" w:rsidRPr="005D77FC">
        <w:rPr>
          <w:rFonts w:eastAsia="Times New Roman" w:cs="Times New Roman"/>
          <w:color w:val="003399"/>
          <w:sz w:val="28"/>
          <w:szCs w:val="28"/>
          <w:lang w:val="pl-PL" w:eastAsia="fr-LU"/>
        </w:rPr>
        <w:t>)</w:t>
      </w:r>
    </w:p>
    <w:p w14:paraId="30633939" w14:textId="77777777" w:rsidR="00FB2AAF" w:rsidRPr="005D77FC" w:rsidRDefault="00FB2AAF" w:rsidP="00FB2AAF">
      <w:pPr>
        <w:pStyle w:val="BodytextAgency"/>
        <w:jc w:val="center"/>
        <w:rPr>
          <w:b/>
          <w:color w:val="2F5496"/>
          <w:sz w:val="24"/>
          <w:szCs w:val="24"/>
          <w:lang w:val="pl-PL"/>
        </w:rPr>
      </w:pPr>
    </w:p>
    <w:p w14:paraId="69971E90" w14:textId="2DB7D401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To jest streszczenie planu zarządzania ryzykiem dla produktu leczniczego</w:t>
      </w:r>
      <w:r w:rsidR="00BC29F5" w:rsidRPr="00610DAE">
        <w:rPr>
          <w:lang w:val="pl-PL"/>
        </w:rPr>
        <w:t xml:space="preserve"> </w:t>
      </w:r>
      <w:proofErr w:type="spellStart"/>
      <w:r w:rsidR="004745CC">
        <w:rPr>
          <w:lang w:val="pl-PL"/>
        </w:rPr>
        <w:t>Penicryl</w:t>
      </w:r>
      <w:proofErr w:type="spellEnd"/>
      <w:r w:rsidRPr="00610DAE">
        <w:rPr>
          <w:lang w:val="pl-PL"/>
        </w:rPr>
        <w:t xml:space="preserve">. Dokument opisuje </w:t>
      </w:r>
      <w:r w:rsidR="004745CC">
        <w:rPr>
          <w:lang w:val="pl-PL"/>
        </w:rPr>
        <w:br/>
      </w:r>
      <w:r w:rsidRPr="00610DAE">
        <w:rPr>
          <w:lang w:val="pl-PL"/>
        </w:rPr>
        <w:t>w szczegółowy sposób istotne ryzyka związane ze stosowaniem produktu</w:t>
      </w:r>
      <w:r w:rsidR="00676191" w:rsidRPr="00610DAE">
        <w:rPr>
          <w:lang w:val="pl-PL"/>
        </w:rPr>
        <w:t xml:space="preserve"> </w:t>
      </w:r>
      <w:proofErr w:type="spellStart"/>
      <w:r w:rsidR="004745CC">
        <w:rPr>
          <w:lang w:val="pl-PL"/>
        </w:rPr>
        <w:t>Penicryl</w:t>
      </w:r>
      <w:proofErr w:type="spellEnd"/>
      <w:r w:rsidRPr="00610DAE">
        <w:rPr>
          <w:lang w:val="pl-PL"/>
        </w:rPr>
        <w:t>, w jaki sposób ryzyko można ograniczyć, i jak pozyskać więcej informacji o zagrożeniach i danych na temat brakujących informacji związanych z przyjmowaniem produktu leczniczego</w:t>
      </w:r>
      <w:r w:rsidR="009B15C7" w:rsidRPr="009B15C7">
        <w:rPr>
          <w:lang w:val="pl-PL"/>
        </w:rPr>
        <w:t xml:space="preserve"> </w:t>
      </w:r>
      <w:proofErr w:type="spellStart"/>
      <w:r w:rsidR="004745CC">
        <w:rPr>
          <w:lang w:val="pl-PL"/>
        </w:rPr>
        <w:t>Penicryl</w:t>
      </w:r>
      <w:proofErr w:type="spellEnd"/>
      <w:r w:rsidRPr="00610DAE">
        <w:rPr>
          <w:shd w:val="clear" w:color="auto" w:fill="FFFFFF"/>
          <w:lang w:val="pl-PL"/>
        </w:rPr>
        <w:t>.</w:t>
      </w:r>
    </w:p>
    <w:p w14:paraId="657C78DD" w14:textId="3D36C381" w:rsidR="00FB2AAF" w:rsidRPr="000A0A18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Charakterystyka produktu leczniczego</w:t>
      </w:r>
      <w:r w:rsidR="00676191" w:rsidRPr="00610DAE">
        <w:rPr>
          <w:lang w:val="pl-PL"/>
        </w:rPr>
        <w:t xml:space="preserve"> </w:t>
      </w:r>
      <w:proofErr w:type="spellStart"/>
      <w:r w:rsidR="004745CC">
        <w:rPr>
          <w:lang w:val="pl-PL"/>
        </w:rPr>
        <w:t>Penicryl</w:t>
      </w:r>
      <w:proofErr w:type="spellEnd"/>
      <w:r w:rsidR="009B15C7" w:rsidRPr="00610DAE">
        <w:rPr>
          <w:lang w:val="pl-PL"/>
        </w:rPr>
        <w:t xml:space="preserve"> </w:t>
      </w:r>
      <w:r w:rsidRPr="00610DAE">
        <w:rPr>
          <w:lang w:val="pl-PL"/>
        </w:rPr>
        <w:t xml:space="preserve">i ulotka dla pacjenta zawiera najważniejsze informacje dla osób wykonujących zawody medyczne i dla pacjentów, jak produkt leczniczy </w:t>
      </w:r>
      <w:proofErr w:type="spellStart"/>
      <w:r w:rsidR="004745CC">
        <w:rPr>
          <w:lang w:val="pl-PL"/>
        </w:rPr>
        <w:t>Penicryl</w:t>
      </w:r>
      <w:proofErr w:type="spellEnd"/>
      <w:r w:rsidR="009B15C7" w:rsidRPr="00610DAE">
        <w:rPr>
          <w:lang w:val="pl-PL"/>
        </w:rPr>
        <w:t xml:space="preserve"> </w:t>
      </w:r>
      <w:r w:rsidRPr="00610DAE">
        <w:rPr>
          <w:lang w:val="pl-PL"/>
        </w:rPr>
        <w:t xml:space="preserve">powinien być </w:t>
      </w:r>
      <w:r w:rsidRPr="000A0A18">
        <w:rPr>
          <w:lang w:val="pl-PL"/>
        </w:rPr>
        <w:t>stosowany.</w:t>
      </w:r>
    </w:p>
    <w:p w14:paraId="7335AE78" w14:textId="537F3F61" w:rsidR="00FB2AAF" w:rsidRPr="000A0A18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0A0A18">
        <w:rPr>
          <w:lang w:val="pl-PL"/>
        </w:rPr>
        <w:t>Ważne nowe zagadnienia lub zmiany odnoszące się do już opisanych kwestii powinny zostać zawarte w aktualizacji RMP dla produktu leczniczego</w:t>
      </w:r>
      <w:r w:rsidR="00676191" w:rsidRPr="000A0A18">
        <w:rPr>
          <w:lang w:val="pl-PL"/>
        </w:rPr>
        <w:t xml:space="preserve"> </w:t>
      </w:r>
      <w:proofErr w:type="spellStart"/>
      <w:r w:rsidR="004745CC" w:rsidRPr="000A0A18">
        <w:rPr>
          <w:lang w:val="pl-PL"/>
        </w:rPr>
        <w:t>Penicryl</w:t>
      </w:r>
      <w:proofErr w:type="spellEnd"/>
      <w:r w:rsidRPr="000A0A18">
        <w:rPr>
          <w:lang w:val="pl-PL"/>
        </w:rPr>
        <w:t>.</w:t>
      </w:r>
    </w:p>
    <w:p w14:paraId="6D7318EB" w14:textId="77777777" w:rsidR="00FB2AAF" w:rsidRPr="000A0A18" w:rsidRDefault="00FB2AAF" w:rsidP="00B15011">
      <w:pPr>
        <w:pStyle w:val="BodytextAgency"/>
        <w:jc w:val="both"/>
        <w:rPr>
          <w:b/>
          <w:bCs/>
          <w:lang w:val="pl-PL"/>
        </w:rPr>
      </w:pPr>
      <w:bookmarkStart w:id="0" w:name="_Toc518107452"/>
      <w:r w:rsidRPr="000A0A18">
        <w:rPr>
          <w:b/>
          <w:bCs/>
          <w:lang w:val="pl-PL"/>
        </w:rPr>
        <w:t>I. Informacje o produkcie i wskazaniach do jego stosowania</w:t>
      </w:r>
      <w:bookmarkEnd w:id="0"/>
    </w:p>
    <w:p w14:paraId="392CE052" w14:textId="02AA07F9" w:rsidR="000A0A18" w:rsidRPr="000A0A18" w:rsidRDefault="000A0A18" w:rsidP="000A0A18">
      <w:pPr>
        <w:pStyle w:val="Tekstpodstawowy"/>
        <w:widowControl/>
        <w:tabs>
          <w:tab w:val="left" w:pos="426"/>
        </w:tabs>
        <w:kinsoku w:val="0"/>
        <w:overflowPunct w:val="0"/>
        <w:spacing w:before="0" w:line="276" w:lineRule="auto"/>
        <w:ind w:left="0" w:right="-563"/>
        <w:jc w:val="both"/>
        <w:rPr>
          <w:rFonts w:ascii="Verdana" w:hAnsi="Verdana"/>
          <w:sz w:val="18"/>
          <w:szCs w:val="18"/>
          <w:lang w:val="pl-PL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Produkt Leczniczy </w:t>
      </w:r>
      <w:proofErr w:type="spellStart"/>
      <w:r w:rsidRPr="000A0A18">
        <w:rPr>
          <w:rFonts w:ascii="Verdana" w:hAnsi="Verdana"/>
          <w:sz w:val="18"/>
          <w:szCs w:val="18"/>
          <w:lang w:val="pl"/>
        </w:rPr>
        <w:t>Penicryl</w:t>
      </w:r>
      <w:proofErr w:type="spellEnd"/>
      <w:r w:rsidRPr="000A0A18">
        <w:rPr>
          <w:rFonts w:ascii="Verdana" w:hAnsi="Verdana"/>
          <w:sz w:val="18"/>
          <w:szCs w:val="18"/>
          <w:lang w:val="pl"/>
        </w:rPr>
        <w:t xml:space="preserve"> jest wskazany do stosowania w leczeniu następujących zakażeń u dorosłych, młodzieży i dzieci:</w:t>
      </w:r>
    </w:p>
    <w:p w14:paraId="09A67D0A" w14:textId="77777777" w:rsidR="000A0A18" w:rsidRPr="000A0A18" w:rsidRDefault="000A0A18" w:rsidP="000A0A18">
      <w:pPr>
        <w:pStyle w:val="Tekstpodstawowy"/>
        <w:widowControl/>
        <w:numPr>
          <w:ilvl w:val="0"/>
          <w:numId w:val="6"/>
        </w:numPr>
        <w:tabs>
          <w:tab w:val="left" w:pos="426"/>
        </w:tabs>
        <w:kinsoku w:val="0"/>
        <w:overflowPunct w:val="0"/>
        <w:spacing w:before="0" w:line="276" w:lineRule="auto"/>
        <w:ind w:right="-563"/>
        <w:jc w:val="both"/>
        <w:rPr>
          <w:rFonts w:ascii="Verdana" w:hAnsi="Verdana"/>
          <w:sz w:val="18"/>
          <w:szCs w:val="18"/>
        </w:rPr>
      </w:pPr>
      <w:proofErr w:type="spellStart"/>
      <w:r w:rsidRPr="000A0A18">
        <w:rPr>
          <w:rFonts w:ascii="Verdana" w:hAnsi="Verdana"/>
          <w:sz w:val="18"/>
          <w:szCs w:val="18"/>
          <w:lang w:val="pl"/>
        </w:rPr>
        <w:t>pozaszpitalne</w:t>
      </w:r>
      <w:proofErr w:type="spellEnd"/>
      <w:r w:rsidRPr="000A0A18">
        <w:rPr>
          <w:rFonts w:ascii="Verdana" w:hAnsi="Verdana"/>
          <w:sz w:val="18"/>
          <w:szCs w:val="18"/>
          <w:lang w:val="pl"/>
        </w:rPr>
        <w:t xml:space="preserve"> zapalenie płuc,</w:t>
      </w:r>
    </w:p>
    <w:p w14:paraId="5317948A" w14:textId="77777777" w:rsidR="000A0A18" w:rsidRPr="000A0A18" w:rsidRDefault="000A0A18" w:rsidP="000A0A18">
      <w:pPr>
        <w:pStyle w:val="Tekstpodstawowy"/>
        <w:widowControl/>
        <w:numPr>
          <w:ilvl w:val="0"/>
          <w:numId w:val="6"/>
        </w:numPr>
        <w:tabs>
          <w:tab w:val="left" w:pos="426"/>
        </w:tabs>
        <w:kinsoku w:val="0"/>
        <w:overflowPunct w:val="0"/>
        <w:spacing w:before="0" w:line="276" w:lineRule="auto"/>
        <w:ind w:right="-563"/>
        <w:jc w:val="both"/>
        <w:rPr>
          <w:rFonts w:ascii="Verdana" w:hAnsi="Verdana"/>
          <w:sz w:val="18"/>
          <w:szCs w:val="18"/>
          <w:lang w:val="pl-PL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zakażenia skóry i tkanek miękkich (w tym zgorzel gazowa i zakażenia powstałe po pogryzieniach przez zwierzęta), </w:t>
      </w:r>
    </w:p>
    <w:p w14:paraId="4AAA5CE8" w14:textId="77777777" w:rsidR="000A0A18" w:rsidRPr="000A0A18" w:rsidRDefault="000A0A18" w:rsidP="000A0A18">
      <w:pPr>
        <w:pStyle w:val="Tekstpodstawowy"/>
        <w:widowControl/>
        <w:numPr>
          <w:ilvl w:val="0"/>
          <w:numId w:val="6"/>
        </w:numPr>
        <w:tabs>
          <w:tab w:val="left" w:pos="426"/>
        </w:tabs>
        <w:kinsoku w:val="0"/>
        <w:overflowPunct w:val="0"/>
        <w:spacing w:before="0" w:line="276" w:lineRule="auto"/>
        <w:ind w:right="-563"/>
        <w:jc w:val="both"/>
        <w:rPr>
          <w:rFonts w:ascii="Verdana" w:hAnsi="Verdana"/>
          <w:sz w:val="18"/>
          <w:szCs w:val="18"/>
          <w:lang w:val="pl-PL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ostre bakteryjne zapalenie opon mózgowo-rdzeniowych, </w:t>
      </w:r>
    </w:p>
    <w:p w14:paraId="04BB03E8" w14:textId="77777777" w:rsidR="000A0A18" w:rsidRPr="000A0A18" w:rsidRDefault="000A0A18" w:rsidP="000A0A18">
      <w:pPr>
        <w:pStyle w:val="Tekstpodstawowy"/>
        <w:widowControl/>
        <w:numPr>
          <w:ilvl w:val="0"/>
          <w:numId w:val="9"/>
        </w:numPr>
        <w:tabs>
          <w:tab w:val="left" w:pos="426"/>
        </w:tabs>
        <w:kinsoku w:val="0"/>
        <w:overflowPunct w:val="0"/>
        <w:spacing w:before="0" w:line="276" w:lineRule="auto"/>
        <w:ind w:right="-563"/>
        <w:rPr>
          <w:rFonts w:ascii="Verdana" w:hAnsi="Verdana"/>
          <w:sz w:val="18"/>
          <w:szCs w:val="18"/>
          <w:lang w:val="pl-PL"/>
        </w:rPr>
      </w:pPr>
      <w:r w:rsidRPr="000A0A18">
        <w:rPr>
          <w:rFonts w:ascii="Verdana" w:hAnsi="Verdana"/>
          <w:sz w:val="18"/>
          <w:szCs w:val="18"/>
          <w:lang w:val="pl"/>
        </w:rPr>
        <w:t>ciężkie zakażenia wywołane przez pneumokoki, paciorkowce, meningokoki lub gonokoki, w tym posocznica, ropniak, ropień mózgu, zakażenia kości i stawów,</w:t>
      </w:r>
    </w:p>
    <w:p w14:paraId="159183AC" w14:textId="77777777" w:rsidR="000A0A18" w:rsidRPr="000A0A18" w:rsidRDefault="000A0A18" w:rsidP="000A0A18">
      <w:pPr>
        <w:pStyle w:val="Tekstpodstawowy"/>
        <w:widowControl/>
        <w:numPr>
          <w:ilvl w:val="0"/>
          <w:numId w:val="9"/>
        </w:numPr>
        <w:tabs>
          <w:tab w:val="left" w:pos="426"/>
        </w:tabs>
        <w:kinsoku w:val="0"/>
        <w:overflowPunct w:val="0"/>
        <w:spacing w:before="0" w:line="276" w:lineRule="auto"/>
        <w:ind w:right="-563"/>
        <w:rPr>
          <w:rFonts w:ascii="Verdana" w:hAnsi="Verdana"/>
          <w:sz w:val="18"/>
          <w:szCs w:val="18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zapalenie wsierdzia, </w:t>
      </w:r>
    </w:p>
    <w:p w14:paraId="0A750D4B" w14:textId="77777777" w:rsidR="000A0A18" w:rsidRPr="000A0A18" w:rsidRDefault="000A0A18" w:rsidP="000A0A18">
      <w:pPr>
        <w:pStyle w:val="Tekstpodstawowy"/>
        <w:widowControl/>
        <w:numPr>
          <w:ilvl w:val="0"/>
          <w:numId w:val="8"/>
        </w:numPr>
        <w:tabs>
          <w:tab w:val="left" w:pos="426"/>
        </w:tabs>
        <w:kinsoku w:val="0"/>
        <w:overflowPunct w:val="0"/>
        <w:spacing w:before="0" w:line="276" w:lineRule="auto"/>
        <w:ind w:right="-563"/>
        <w:rPr>
          <w:rFonts w:ascii="Verdana" w:hAnsi="Verdana"/>
          <w:sz w:val="18"/>
          <w:szCs w:val="18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neuroborelioza, </w:t>
      </w:r>
    </w:p>
    <w:p w14:paraId="478BA560" w14:textId="77777777" w:rsidR="000A0A18" w:rsidRPr="000A0A18" w:rsidRDefault="000A0A18" w:rsidP="000A0A18">
      <w:pPr>
        <w:pStyle w:val="Tekstpodstawowy"/>
        <w:widowControl/>
        <w:numPr>
          <w:ilvl w:val="0"/>
          <w:numId w:val="7"/>
        </w:numPr>
        <w:tabs>
          <w:tab w:val="left" w:pos="426"/>
        </w:tabs>
        <w:kinsoku w:val="0"/>
        <w:overflowPunct w:val="0"/>
        <w:spacing w:before="0" w:line="276" w:lineRule="auto"/>
        <w:ind w:right="-563"/>
        <w:rPr>
          <w:rFonts w:ascii="Verdana" w:hAnsi="Verdana"/>
          <w:sz w:val="18"/>
          <w:szCs w:val="18"/>
        </w:rPr>
      </w:pPr>
      <w:r w:rsidRPr="000A0A18">
        <w:rPr>
          <w:rFonts w:ascii="Verdana" w:hAnsi="Verdana"/>
          <w:sz w:val="18"/>
          <w:szCs w:val="18"/>
          <w:lang w:val="pl"/>
        </w:rPr>
        <w:t xml:space="preserve">kiła. </w:t>
      </w:r>
    </w:p>
    <w:p w14:paraId="2183C151" w14:textId="77777777" w:rsidR="00BF3A61" w:rsidRPr="000A0A18" w:rsidRDefault="00BF3A61" w:rsidP="00BF3A6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ind w:left="970" w:right="-563"/>
        <w:rPr>
          <w:lang w:bidi="en-US"/>
        </w:rPr>
      </w:pPr>
    </w:p>
    <w:p w14:paraId="738FDBCA" w14:textId="148CD5C1" w:rsidR="00FB2AAF" w:rsidRPr="000A0A18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0A0A18">
        <w:rPr>
          <w:lang w:val="pl-PL"/>
        </w:rPr>
        <w:t>Produkt leczniczy zawiera</w:t>
      </w:r>
      <w:r w:rsidR="00BF3A61" w:rsidRPr="000A0A18">
        <w:rPr>
          <w:lang w:val="pl-PL"/>
        </w:rPr>
        <w:t xml:space="preserve"> </w:t>
      </w:r>
      <w:proofErr w:type="spellStart"/>
      <w:r w:rsidR="00BF3A61" w:rsidRPr="000A0A18">
        <w:rPr>
          <w:lang w:val="pl-PL"/>
        </w:rPr>
        <w:t>benzylpenicylinę</w:t>
      </w:r>
      <w:proofErr w:type="spellEnd"/>
      <w:r w:rsidR="00BF3A61" w:rsidRPr="000A0A18">
        <w:rPr>
          <w:lang w:val="pl-PL"/>
        </w:rPr>
        <w:t xml:space="preserve"> potasową </w:t>
      </w:r>
      <w:r w:rsidRPr="000A0A18">
        <w:rPr>
          <w:lang w:val="pl-PL"/>
        </w:rPr>
        <w:t xml:space="preserve">jako substancję czynną, podawany jest </w:t>
      </w:r>
      <w:r w:rsidR="00FB1A5F" w:rsidRPr="000A0A18">
        <w:rPr>
          <w:lang w:val="pl-PL"/>
        </w:rPr>
        <w:t>do</w:t>
      </w:r>
      <w:r w:rsidR="00BF3A61" w:rsidRPr="000A0A18">
        <w:rPr>
          <w:lang w:val="pl-PL"/>
        </w:rPr>
        <w:t>mięśniowo lub dożylnie</w:t>
      </w:r>
      <w:r w:rsidRPr="000A0A18">
        <w:rPr>
          <w:lang w:val="pl-PL"/>
        </w:rPr>
        <w:t>.</w:t>
      </w:r>
    </w:p>
    <w:p w14:paraId="70EFCE4A" w14:textId="77777777" w:rsidR="00FB2AAF" w:rsidRPr="00610DAE" w:rsidRDefault="00FB2AAF" w:rsidP="00B15011">
      <w:pPr>
        <w:pStyle w:val="BodytextAgency"/>
        <w:jc w:val="both"/>
        <w:rPr>
          <w:b/>
          <w:bCs/>
          <w:sz w:val="22"/>
          <w:szCs w:val="22"/>
          <w:lang w:val="pl-PL"/>
        </w:rPr>
      </w:pPr>
      <w:bookmarkStart w:id="1" w:name="_Toc518107453"/>
      <w:r w:rsidRPr="00610DAE">
        <w:rPr>
          <w:b/>
          <w:bCs/>
          <w:sz w:val="22"/>
          <w:szCs w:val="22"/>
          <w:lang w:val="pl-PL"/>
        </w:rPr>
        <w:t xml:space="preserve">II. </w:t>
      </w:r>
      <w:bookmarkEnd w:id="1"/>
      <w:r w:rsidRPr="00610DAE">
        <w:rPr>
          <w:b/>
          <w:bCs/>
          <w:sz w:val="22"/>
          <w:szCs w:val="22"/>
          <w:lang w:val="pl-PL"/>
        </w:rPr>
        <w:t xml:space="preserve">Ryzyko związane ze stosowaniem produktu leczniczego i aktywności jakie należy podjąć w celu zmniejszenia ryzyka lub dalszego jego scharakteryzowania </w:t>
      </w:r>
    </w:p>
    <w:p w14:paraId="3AC9DB1A" w14:textId="20794268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Istotne ryzyka produktu leczniczego</w:t>
      </w:r>
      <w:r w:rsidR="00676191" w:rsidRPr="00610DAE">
        <w:rPr>
          <w:lang w:val="pl-PL"/>
        </w:rPr>
        <w:t xml:space="preserve"> </w:t>
      </w:r>
      <w:proofErr w:type="spellStart"/>
      <w:r w:rsidR="00BF3A61">
        <w:rPr>
          <w:lang w:val="pl-PL"/>
        </w:rPr>
        <w:t>Penicryl</w:t>
      </w:r>
      <w:proofErr w:type="spellEnd"/>
      <w:r w:rsidRPr="00610DAE">
        <w:rPr>
          <w:lang w:val="pl-PL"/>
        </w:rPr>
        <w:t xml:space="preserve">, łącznie z działaniami podejmowanymi w celu zmniejszenia tych </w:t>
      </w:r>
      <w:proofErr w:type="spellStart"/>
      <w:r w:rsidRPr="00610DAE">
        <w:rPr>
          <w:lang w:val="pl-PL"/>
        </w:rPr>
        <w:t>ryzyk</w:t>
      </w:r>
      <w:proofErr w:type="spellEnd"/>
      <w:r w:rsidRPr="00610DAE">
        <w:rPr>
          <w:lang w:val="pl-PL"/>
        </w:rPr>
        <w:t xml:space="preserve"> i propozycje badań umożliwiających lepsze poznanie zagrożeń związanych ze stosowaniem produktu leczniczego</w:t>
      </w:r>
      <w:r w:rsidR="00676191" w:rsidRPr="00610DAE">
        <w:rPr>
          <w:lang w:val="pl-PL"/>
        </w:rPr>
        <w:t xml:space="preserve"> </w:t>
      </w:r>
      <w:proofErr w:type="spellStart"/>
      <w:r w:rsidR="00BF3A61">
        <w:rPr>
          <w:lang w:val="pl-PL"/>
        </w:rPr>
        <w:t>Penicryl</w:t>
      </w:r>
      <w:proofErr w:type="spellEnd"/>
      <w:r w:rsidR="009B15C7" w:rsidRPr="00610DAE">
        <w:rPr>
          <w:lang w:val="pl-PL"/>
        </w:rPr>
        <w:t xml:space="preserve"> </w:t>
      </w:r>
      <w:r w:rsidRPr="00610DAE">
        <w:rPr>
          <w:lang w:val="pl-PL"/>
        </w:rPr>
        <w:t xml:space="preserve">wymieniono poniżej. </w:t>
      </w:r>
    </w:p>
    <w:p w14:paraId="6CE755C6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Działania podejmowane w celu zmniejszenia ryzyka to:</w:t>
      </w:r>
    </w:p>
    <w:p w14:paraId="01D28B43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● Specjalne informacje, takie jak ostrzeżenia i specjalne środki ostrożności, zalecenia odnoszące się do prawidłowego sposobu stosowania, zamieszczone w ulotce dla pacjenta, w Charakterystyce produktu leczniczego przeznaczonej dla osób wykonujących zawody medyczne;</w:t>
      </w:r>
    </w:p>
    <w:p w14:paraId="05354669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● Ważne zalecenia zamieszczone na opakowaniu leku;</w:t>
      </w:r>
    </w:p>
    <w:p w14:paraId="67DADF0B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● Zatwierdzenie odpowiedniej wielkości opakowania leku, zapewniające jego właściwe stosowanie;</w:t>
      </w:r>
    </w:p>
    <w:p w14:paraId="52ABA2F8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● Nadanie właściwej kategorii dostępności leku – sposób w jaki pacjent nabywa lek (np. z lub bez recepty) może zminimalizować ryzyko związane z jego stosowaniem.</w:t>
      </w:r>
    </w:p>
    <w:p w14:paraId="1D97E9EC" w14:textId="77777777" w:rsidR="00FB2AAF" w:rsidRPr="00610DAE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Wszystkie te działania to rutynowe środki minimalizacji ryzyka.</w:t>
      </w:r>
    </w:p>
    <w:p w14:paraId="147FE6C6" w14:textId="0545F986" w:rsidR="000A0A18" w:rsidRDefault="00FB2AAF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W uzupełnieniu do tych działań, regularnie gromadzi się i analizuje informacje o niepożądanych działaniach produktu leczniczego, aby w razie potrzeby niezwłocznie podjąć konieczne kroki. Działania te stanowią rutynowe aktywności nadzoru nad bezpieczeństwem farmakoterapii.</w:t>
      </w:r>
      <w:bookmarkStart w:id="2" w:name="_Toc467844139"/>
      <w:bookmarkStart w:id="3" w:name="_Toc468294642"/>
      <w:bookmarkStart w:id="4" w:name="_Toc468365852"/>
      <w:bookmarkStart w:id="5" w:name="_Toc476237866"/>
      <w:bookmarkStart w:id="6" w:name="_Toc477774604"/>
      <w:bookmarkStart w:id="7" w:name="_Toc478109873"/>
      <w:bookmarkStart w:id="8" w:name="_Toc518107454"/>
      <w:bookmarkEnd w:id="2"/>
      <w:bookmarkEnd w:id="3"/>
      <w:bookmarkEnd w:id="4"/>
      <w:bookmarkEnd w:id="5"/>
      <w:bookmarkEnd w:id="6"/>
      <w:bookmarkEnd w:id="7"/>
    </w:p>
    <w:p w14:paraId="68823C67" w14:textId="77777777" w:rsidR="000A0A18" w:rsidRDefault="000A0A18">
      <w:pPr>
        <w:spacing w:after="160" w:line="259" w:lineRule="auto"/>
        <w:rPr>
          <w:rFonts w:eastAsia="Verdana"/>
          <w:lang w:val="pl-PL" w:eastAsia="en-GB"/>
        </w:rPr>
      </w:pPr>
      <w:r>
        <w:rPr>
          <w:lang w:val="pl-PL"/>
        </w:rPr>
        <w:br w:type="page"/>
      </w:r>
    </w:p>
    <w:p w14:paraId="5D3E6F08" w14:textId="08C8A573" w:rsidR="00FB2AAF" w:rsidRPr="00610DAE" w:rsidRDefault="00FB2AAF" w:rsidP="00B15011">
      <w:pPr>
        <w:pStyle w:val="BodytextAgency"/>
        <w:jc w:val="both"/>
        <w:rPr>
          <w:b/>
          <w:bCs/>
          <w:i/>
          <w:sz w:val="22"/>
          <w:szCs w:val="22"/>
          <w:lang w:val="pl-PL"/>
        </w:rPr>
      </w:pPr>
      <w:r w:rsidRPr="00610DAE">
        <w:rPr>
          <w:b/>
          <w:bCs/>
          <w:i/>
          <w:sz w:val="22"/>
          <w:szCs w:val="22"/>
          <w:lang w:val="pl-PL"/>
        </w:rPr>
        <w:lastRenderedPageBreak/>
        <w:t xml:space="preserve">II.A </w:t>
      </w:r>
      <w:bookmarkEnd w:id="8"/>
      <w:r w:rsidRPr="00610DAE">
        <w:rPr>
          <w:b/>
          <w:bCs/>
          <w:i/>
          <w:sz w:val="22"/>
          <w:szCs w:val="22"/>
          <w:lang w:val="pl-PL"/>
        </w:rPr>
        <w:t>Lista istotnych zagrożeń i brakujących informacji</w:t>
      </w:r>
    </w:p>
    <w:p w14:paraId="3F3669B6" w14:textId="28C11A44" w:rsidR="00FB2AAF" w:rsidRPr="00610DAE" w:rsidRDefault="00FB2AAF" w:rsidP="000A0A18">
      <w:pPr>
        <w:pStyle w:val="BodytextAgency"/>
        <w:spacing w:line="276" w:lineRule="auto"/>
        <w:jc w:val="both"/>
        <w:rPr>
          <w:iCs/>
          <w:lang w:val="pl-PL"/>
        </w:rPr>
      </w:pPr>
      <w:r w:rsidRPr="00610DAE">
        <w:rPr>
          <w:iCs/>
          <w:lang w:val="pl-PL"/>
        </w:rPr>
        <w:t>Istotne ryzyka związane ze stosowaniem produktu leczniczego</w:t>
      </w:r>
      <w:r w:rsidR="00676191" w:rsidRPr="00610DAE">
        <w:rPr>
          <w:iCs/>
          <w:lang w:val="pl-PL"/>
        </w:rPr>
        <w:t xml:space="preserve"> </w:t>
      </w:r>
      <w:r w:rsidRPr="00610DAE">
        <w:rPr>
          <w:iCs/>
          <w:lang w:val="pl-PL"/>
        </w:rPr>
        <w:t xml:space="preserve">to ryzyka, które wymagają specjalnych działań z zakresu zarządzania ryzykiem, w celu dalszego zbadania lub podjęcia kroków minimalizujących ryzyko, w taki sposób żeby produkt leczniczy mógł być bezpiecznie podawany. Istotne ryzyka mogą odnosić się do ryzyka zidentyfikowanego lub potencjalnego. Zidentyfikowane ryzyka odnoszą się do sytuacji, w których w wystarczający sposób możemy udowodnić zależność ryzyka od stosowania produktu </w:t>
      </w:r>
      <w:proofErr w:type="spellStart"/>
      <w:r w:rsidR="004053D3">
        <w:rPr>
          <w:iCs/>
          <w:lang w:val="pl-PL"/>
        </w:rPr>
        <w:t>Penicryl</w:t>
      </w:r>
      <w:proofErr w:type="spellEnd"/>
      <w:r w:rsidRPr="00610DAE">
        <w:rPr>
          <w:iCs/>
          <w:lang w:val="pl-PL"/>
        </w:rPr>
        <w:t xml:space="preserve">. Potencjalne ryzyka odnoszą się do sytuacji, w których związek zagrożenia ze stosowaniem leku jest oceniany jako możliwy, po wzięciu pod uwagę dostępnych danych, ale ten związek nie jest dotychczas w pełni ustalony i wymaga dalszej oceny. Brakujące informacje odnoszą się do informacji dotyczących bezpieczeństwa stosowania leku, których obecnie brakuje i wymagają zgromadzenia niezbędnych danych (np. dotyczące bezpieczeństwa podczas długotrwałego stosowania leku).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 w:firstRow="1" w:lastRow="1" w:firstColumn="1" w:lastColumn="1" w:noHBand="0" w:noVBand="1"/>
      </w:tblPr>
      <w:tblGrid>
        <w:gridCol w:w="3114"/>
        <w:gridCol w:w="6289"/>
      </w:tblGrid>
      <w:tr w:rsidR="00FB2AAF" w:rsidRPr="005D77FC" w14:paraId="114BC04D" w14:textId="77777777" w:rsidTr="006A7B1C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42DC" w14:textId="77777777" w:rsidR="00FB2AAF" w:rsidRPr="00610DAE" w:rsidRDefault="00FB2AAF" w:rsidP="006A7B1C">
            <w:pPr>
              <w:pStyle w:val="BodytextAgency"/>
              <w:rPr>
                <w:b/>
                <w:lang w:val="pl-PL"/>
              </w:rPr>
            </w:pPr>
            <w:r w:rsidRPr="00610DAE">
              <w:rPr>
                <w:rFonts w:eastAsia="Times New Roman"/>
                <w:b/>
                <w:lang w:val="pl-PL"/>
              </w:rPr>
              <w:t>Lista istotnych zagrożeń i  brakujących informacji</w:t>
            </w:r>
          </w:p>
        </w:tc>
      </w:tr>
      <w:tr w:rsidR="00FB2AAF" w:rsidRPr="0026231E" w14:paraId="69F06670" w14:textId="77777777" w:rsidTr="000E7EC8">
        <w:tc>
          <w:tcPr>
            <w:tcW w:w="16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1CFD4D" w14:textId="77777777" w:rsidR="00FB2AAF" w:rsidRPr="00610DAE" w:rsidRDefault="00FB2AAF" w:rsidP="006A7B1C">
            <w:pPr>
              <w:spacing w:line="280" w:lineRule="exact"/>
              <w:rPr>
                <w:rFonts w:eastAsia="Times New Roman"/>
                <w:lang w:val="pl-PL"/>
              </w:rPr>
            </w:pPr>
            <w:r w:rsidRPr="00610DAE">
              <w:rPr>
                <w:rFonts w:eastAsia="Times New Roman"/>
                <w:lang w:val="pl-PL"/>
              </w:rPr>
              <w:t>Istotne zidentyfikowane ryzyka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F59F64" w14:textId="23EA314B" w:rsidR="009010C1" w:rsidRPr="00610DAE" w:rsidRDefault="0026231E" w:rsidP="000E7EC8">
            <w:pPr>
              <w:pStyle w:val="BodytextAgency"/>
              <w:rPr>
                <w:iCs/>
                <w:lang w:val="pl-PL"/>
              </w:rPr>
            </w:pPr>
            <w:r w:rsidRPr="00610DAE">
              <w:rPr>
                <w:iCs/>
                <w:lang w:val="pl-PL"/>
              </w:rPr>
              <w:t>Brak</w:t>
            </w:r>
          </w:p>
        </w:tc>
      </w:tr>
      <w:tr w:rsidR="00FB2AAF" w:rsidRPr="00610DAE" w14:paraId="6AE28461" w14:textId="77777777" w:rsidTr="000E7EC8">
        <w:tc>
          <w:tcPr>
            <w:tcW w:w="16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96CFD9" w14:textId="77777777" w:rsidR="00FB2AAF" w:rsidRPr="00610DAE" w:rsidRDefault="00FB2AAF" w:rsidP="006A7B1C">
            <w:pPr>
              <w:pStyle w:val="BodytextAgency"/>
            </w:pPr>
            <w:r w:rsidRPr="00610DAE">
              <w:rPr>
                <w:rFonts w:eastAsia="Times New Roman"/>
                <w:lang w:val="pl-PL"/>
              </w:rPr>
              <w:t>Istotne potencjalne ryzyka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B0921F" w14:textId="18C6237F" w:rsidR="00FB2AAF" w:rsidRPr="00610DAE" w:rsidRDefault="00E33488" w:rsidP="000E7EC8">
            <w:pPr>
              <w:pStyle w:val="BodytextAgency"/>
              <w:rPr>
                <w:iCs/>
                <w:lang w:val="pl-PL"/>
              </w:rPr>
            </w:pPr>
            <w:r w:rsidRPr="00610DAE">
              <w:rPr>
                <w:iCs/>
                <w:lang w:val="pl-PL"/>
              </w:rPr>
              <w:t>Brak</w:t>
            </w:r>
          </w:p>
        </w:tc>
      </w:tr>
      <w:tr w:rsidR="00FB2AAF" w:rsidRPr="00444A6B" w14:paraId="505F5C34" w14:textId="77777777" w:rsidTr="000E7EC8">
        <w:tc>
          <w:tcPr>
            <w:tcW w:w="16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FD6445" w14:textId="77777777" w:rsidR="00FB2AAF" w:rsidRPr="00610DAE" w:rsidRDefault="00FB2AAF" w:rsidP="006A7B1C">
            <w:pPr>
              <w:pStyle w:val="BodytextAgency"/>
            </w:pPr>
            <w:r w:rsidRPr="00610DAE">
              <w:rPr>
                <w:rFonts w:eastAsia="Times New Roman"/>
                <w:lang w:val="pl-PL"/>
              </w:rPr>
              <w:t>Brakujące informacje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9FC5541" w14:textId="6A71C1C4" w:rsidR="00FB2AAF" w:rsidRPr="00610DAE" w:rsidRDefault="0026231E" w:rsidP="000E7EC8">
            <w:pPr>
              <w:pStyle w:val="BodytextAgency"/>
              <w:rPr>
                <w:iCs/>
                <w:lang w:val="pl-PL"/>
              </w:rPr>
            </w:pPr>
            <w:r w:rsidRPr="00610DAE">
              <w:rPr>
                <w:iCs/>
                <w:lang w:val="pl-PL"/>
              </w:rPr>
              <w:t>Brak</w:t>
            </w:r>
          </w:p>
        </w:tc>
      </w:tr>
    </w:tbl>
    <w:p w14:paraId="75611C91" w14:textId="4513284E" w:rsidR="00FB2AAF" w:rsidRPr="00610DAE" w:rsidRDefault="00FB2AAF" w:rsidP="00FB2AAF">
      <w:pPr>
        <w:keepNext/>
        <w:tabs>
          <w:tab w:val="left" w:pos="1134"/>
        </w:tabs>
        <w:spacing w:before="280" w:after="220"/>
        <w:outlineLvl w:val="3"/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</w:pPr>
      <w:r w:rsidRPr="00610DAE"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  <w:t xml:space="preserve">II.B </w:t>
      </w:r>
      <w:r w:rsidRPr="00610DAE">
        <w:rPr>
          <w:rFonts w:eastAsia="Verdana" w:cs="Arial"/>
          <w:b/>
          <w:bCs/>
          <w:i/>
          <w:iCs/>
          <w:kern w:val="32"/>
          <w:sz w:val="22"/>
          <w:szCs w:val="22"/>
          <w:lang w:val="pl-PL" w:eastAsia="en-GB"/>
        </w:rPr>
        <w:t>Podsumowanie informacji o istotnych ryzykach</w:t>
      </w:r>
      <w:r w:rsidRPr="00610DAE"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  <w:t xml:space="preserve"> </w:t>
      </w:r>
    </w:p>
    <w:p w14:paraId="29198EAC" w14:textId="77777777" w:rsidR="00E33488" w:rsidRPr="00610DAE" w:rsidRDefault="00E33488" w:rsidP="000A0A18">
      <w:pPr>
        <w:pStyle w:val="BodytextAgency"/>
        <w:spacing w:line="276" w:lineRule="auto"/>
        <w:jc w:val="both"/>
        <w:rPr>
          <w:lang w:val="pl-PL"/>
        </w:rPr>
      </w:pPr>
      <w:r w:rsidRPr="00610DAE">
        <w:rPr>
          <w:lang w:val="pl-PL"/>
        </w:rPr>
        <w:t>Informacja dotycząca bezpieczeństwa zawarta w proponowanej informacji o produkcie leczniczym jest zgodna z informacją dla leku referencyjnego.</w:t>
      </w:r>
    </w:p>
    <w:p w14:paraId="3A4AA903" w14:textId="3356A951" w:rsidR="00FB2AAF" w:rsidRPr="00610DAE" w:rsidRDefault="00FB2AAF" w:rsidP="00FB2AAF">
      <w:pPr>
        <w:keepNext/>
        <w:tabs>
          <w:tab w:val="left" w:pos="1134"/>
        </w:tabs>
        <w:spacing w:before="280" w:after="220"/>
        <w:outlineLvl w:val="2"/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</w:pPr>
      <w:bookmarkStart w:id="9" w:name="_Toc464653165"/>
      <w:bookmarkStart w:id="10" w:name="_Toc468365857"/>
      <w:bookmarkStart w:id="11" w:name="_Toc518107456"/>
      <w:r w:rsidRPr="00610DAE"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  <w:t xml:space="preserve">II.C </w:t>
      </w:r>
      <w:r w:rsidRPr="00610DAE">
        <w:rPr>
          <w:rFonts w:eastAsia="Verdana" w:cs="Arial"/>
          <w:b/>
          <w:bCs/>
          <w:i/>
          <w:iCs/>
          <w:kern w:val="32"/>
          <w:sz w:val="22"/>
          <w:szCs w:val="22"/>
          <w:lang w:val="pl-PL" w:eastAsia="en-GB"/>
        </w:rPr>
        <w:t>Plan przewidywanego rozwoju po dopuszczeniu produktu do obrotu</w:t>
      </w:r>
      <w:r w:rsidRPr="00610DAE">
        <w:rPr>
          <w:rFonts w:eastAsia="Verdana" w:cs="Arial"/>
          <w:b/>
          <w:bCs/>
          <w:i/>
          <w:kern w:val="32"/>
          <w:sz w:val="22"/>
          <w:szCs w:val="22"/>
          <w:lang w:val="pl-PL" w:eastAsia="en-GB"/>
        </w:rPr>
        <w:t xml:space="preserve"> </w:t>
      </w:r>
      <w:bookmarkEnd w:id="9"/>
      <w:bookmarkEnd w:id="10"/>
      <w:bookmarkEnd w:id="11"/>
    </w:p>
    <w:p w14:paraId="5D42ADE2" w14:textId="77777777" w:rsidR="00FB2AAF" w:rsidRPr="00610DAE" w:rsidRDefault="00FB2AAF" w:rsidP="00FB2AAF">
      <w:pPr>
        <w:keepNext/>
        <w:tabs>
          <w:tab w:val="left" w:pos="1134"/>
        </w:tabs>
        <w:spacing w:before="280" w:after="220"/>
        <w:outlineLvl w:val="2"/>
        <w:rPr>
          <w:rFonts w:eastAsia="Verdana" w:cs="Arial"/>
          <w:b/>
          <w:bCs/>
          <w:i/>
          <w:kern w:val="32"/>
          <w:lang w:val="pl-PL" w:eastAsia="en-GB"/>
        </w:rPr>
      </w:pPr>
      <w:bookmarkStart w:id="12" w:name="_Toc464653166"/>
      <w:bookmarkStart w:id="13" w:name="_Toc468365858"/>
      <w:r w:rsidRPr="00610DAE">
        <w:rPr>
          <w:rFonts w:eastAsia="Verdana" w:cs="Arial"/>
          <w:b/>
          <w:bCs/>
          <w:i/>
          <w:kern w:val="32"/>
          <w:lang w:val="pl-PL" w:eastAsia="en-GB"/>
        </w:rPr>
        <w:t xml:space="preserve">II.C.1 </w:t>
      </w:r>
      <w:bookmarkEnd w:id="12"/>
      <w:bookmarkEnd w:id="13"/>
      <w:r w:rsidRPr="00610DAE">
        <w:rPr>
          <w:rFonts w:eastAsia="Verdana" w:cs="Arial"/>
          <w:b/>
          <w:bCs/>
          <w:i/>
          <w:kern w:val="32"/>
          <w:lang w:val="pl-PL" w:eastAsia="en-GB"/>
        </w:rPr>
        <w:t>Badania, których przeprowadzenie stanowi warunek uzyskania pozwolenia na dopuszczenie do obrotu produktu leczniczego</w:t>
      </w:r>
    </w:p>
    <w:p w14:paraId="6215901D" w14:textId="38BC81AC" w:rsidR="00FB2AAF" w:rsidRPr="00610DAE" w:rsidRDefault="00FB2AAF" w:rsidP="000A0A18">
      <w:pPr>
        <w:keepNext/>
        <w:tabs>
          <w:tab w:val="left" w:pos="1134"/>
        </w:tabs>
        <w:spacing w:after="140" w:line="276" w:lineRule="auto"/>
        <w:outlineLvl w:val="2"/>
        <w:rPr>
          <w:rFonts w:eastAsia="Verdana" w:cs="Arial"/>
          <w:bCs/>
          <w:kern w:val="32"/>
          <w:lang w:val="pl-PL" w:eastAsia="en-GB"/>
        </w:rPr>
      </w:pPr>
      <w:r w:rsidRPr="00610DAE">
        <w:rPr>
          <w:lang w:val="pl-PL"/>
        </w:rPr>
        <w:t xml:space="preserve">Brak badań stanowiących warunek dopuszczenia produktu leczniczego do obrotu lub będących wynikiem specyficznych zobowiązań dotyczących produktu leczniczego </w:t>
      </w:r>
      <w:proofErr w:type="spellStart"/>
      <w:r w:rsidR="004053D3">
        <w:rPr>
          <w:lang w:val="pl-PL"/>
        </w:rPr>
        <w:t>Penicryl</w:t>
      </w:r>
      <w:proofErr w:type="spellEnd"/>
      <w:r w:rsidRPr="00610DAE">
        <w:rPr>
          <w:rFonts w:eastAsia="Verdana" w:cs="Arial"/>
          <w:bCs/>
          <w:kern w:val="32"/>
          <w:lang w:val="pl-PL" w:eastAsia="en-GB"/>
        </w:rPr>
        <w:t>.</w:t>
      </w:r>
    </w:p>
    <w:p w14:paraId="7046A0A5" w14:textId="77777777" w:rsidR="00FB2AAF" w:rsidRPr="00610DAE" w:rsidRDefault="00FB2AAF" w:rsidP="00FB2AAF">
      <w:pPr>
        <w:keepNext/>
        <w:tabs>
          <w:tab w:val="left" w:pos="1134"/>
        </w:tabs>
        <w:spacing w:before="280" w:after="220"/>
        <w:outlineLvl w:val="2"/>
        <w:rPr>
          <w:rFonts w:eastAsia="Verdana" w:cs="Arial"/>
          <w:b/>
          <w:bCs/>
          <w:i/>
          <w:kern w:val="32"/>
          <w:lang w:val="pl-PL" w:eastAsia="en-GB"/>
        </w:rPr>
      </w:pPr>
      <w:bookmarkStart w:id="14" w:name="_Toc464653167"/>
      <w:bookmarkStart w:id="15" w:name="_Toc468365859"/>
      <w:r w:rsidRPr="00610DAE">
        <w:rPr>
          <w:rFonts w:eastAsia="Verdana" w:cs="Arial"/>
          <w:b/>
          <w:bCs/>
          <w:i/>
          <w:kern w:val="32"/>
          <w:lang w:val="pl-PL" w:eastAsia="en-GB"/>
        </w:rPr>
        <w:t xml:space="preserve">II.C.2 </w:t>
      </w:r>
      <w:bookmarkEnd w:id="14"/>
      <w:bookmarkEnd w:id="15"/>
      <w:r w:rsidRPr="00610DAE">
        <w:rPr>
          <w:rFonts w:eastAsia="Verdana" w:cs="Arial"/>
          <w:b/>
          <w:bCs/>
          <w:i/>
          <w:kern w:val="32"/>
          <w:lang w:val="pl-PL" w:eastAsia="en-GB"/>
        </w:rPr>
        <w:t xml:space="preserve">Inne badania </w:t>
      </w:r>
      <w:proofErr w:type="spellStart"/>
      <w:r w:rsidRPr="00610DAE">
        <w:rPr>
          <w:rFonts w:eastAsia="Verdana" w:cs="Arial"/>
          <w:b/>
          <w:bCs/>
          <w:i/>
          <w:kern w:val="32"/>
          <w:lang w:val="pl-PL" w:eastAsia="en-GB"/>
        </w:rPr>
        <w:t>porejestracyjne</w:t>
      </w:r>
      <w:proofErr w:type="spellEnd"/>
      <w:r w:rsidRPr="00610DAE">
        <w:rPr>
          <w:rFonts w:eastAsia="Verdana" w:cs="Arial"/>
          <w:b/>
          <w:bCs/>
          <w:i/>
          <w:kern w:val="32"/>
          <w:lang w:val="pl-PL" w:eastAsia="en-GB"/>
        </w:rPr>
        <w:t xml:space="preserve"> uwzględnione w planie rozwoju produktu leczniczego</w:t>
      </w:r>
    </w:p>
    <w:p w14:paraId="46FD1922" w14:textId="1FC8E07C" w:rsidR="00FE7BBD" w:rsidRPr="004053D3" w:rsidRDefault="00FB2AAF" w:rsidP="004053D3">
      <w:pPr>
        <w:keepNext/>
        <w:tabs>
          <w:tab w:val="left" w:pos="1134"/>
        </w:tabs>
        <w:spacing w:after="140" w:line="280" w:lineRule="atLeast"/>
        <w:outlineLvl w:val="2"/>
        <w:rPr>
          <w:rFonts w:eastAsia="Verdana" w:cs="Arial"/>
          <w:bCs/>
          <w:kern w:val="32"/>
          <w:lang w:val="pl-PL" w:eastAsia="en-GB"/>
        </w:rPr>
      </w:pPr>
      <w:r w:rsidRPr="00610DAE">
        <w:rPr>
          <w:lang w:val="pl-PL"/>
        </w:rPr>
        <w:t xml:space="preserve">Brak badań, których przeprowadzenie jest wymagane w odniesieniu do produktu leczniczego </w:t>
      </w:r>
      <w:proofErr w:type="spellStart"/>
      <w:r w:rsidR="004053D3">
        <w:rPr>
          <w:lang w:val="pl-PL"/>
        </w:rPr>
        <w:t>Penicryl</w:t>
      </w:r>
      <w:proofErr w:type="spellEnd"/>
      <w:r w:rsidR="004053D3">
        <w:rPr>
          <w:lang w:val="pl-PL"/>
        </w:rPr>
        <w:t>.</w:t>
      </w:r>
    </w:p>
    <w:sectPr w:rsidR="00FE7BBD" w:rsidRPr="004053D3" w:rsidSect="009D71F9">
      <w:footerReference w:type="default" r:id="rId8"/>
      <w:footerReference w:type="first" r:id="rId9"/>
      <w:pgSz w:w="11907" w:h="16839" w:code="9"/>
      <w:pgMar w:top="993" w:right="1247" w:bottom="1417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1AA3D" w14:textId="77777777" w:rsidR="00737506" w:rsidRDefault="00737506">
      <w:r>
        <w:separator/>
      </w:r>
    </w:p>
  </w:endnote>
  <w:endnote w:type="continuationSeparator" w:id="0">
    <w:p w14:paraId="3E2DCA93" w14:textId="77777777" w:rsidR="00737506" w:rsidRDefault="0073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1E0" w:firstRow="1" w:lastRow="1" w:firstColumn="1" w:lastColumn="1" w:noHBand="0" w:noVBand="0"/>
    </w:tblPr>
    <w:tblGrid>
      <w:gridCol w:w="6196"/>
      <w:gridCol w:w="3217"/>
    </w:tblGrid>
    <w:tr w:rsidR="004D3C47" w:rsidRPr="00D81938" w14:paraId="74A656DC" w14:textId="77777777" w:rsidTr="00FE2555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left w:w="0" w:type="dxa"/>
            <w:right w:w="0" w:type="dxa"/>
          </w:tcMar>
        </w:tcPr>
        <w:p w14:paraId="4958F470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4D3C47" w:rsidRPr="00D81938" w14:paraId="48C76071" w14:textId="77777777" w:rsidTr="00FE2555">
      <w:tc>
        <w:tcPr>
          <w:tcW w:w="3291" w:type="pct"/>
          <w:shd w:val="clear" w:color="auto" w:fill="auto"/>
          <w:tcMar>
            <w:left w:w="0" w:type="dxa"/>
            <w:right w:w="0" w:type="dxa"/>
          </w:tcMar>
        </w:tcPr>
        <w:p w14:paraId="2C5F1E86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709" w:type="pct"/>
          <w:shd w:val="clear" w:color="auto" w:fill="auto"/>
          <w:tcMar>
            <w:left w:w="0" w:type="dxa"/>
            <w:right w:w="0" w:type="dxa"/>
          </w:tcMar>
        </w:tcPr>
        <w:p w14:paraId="5822C409" w14:textId="77777777" w:rsidR="004D3C47" w:rsidRPr="00B3310A" w:rsidRDefault="00FB2AAF" w:rsidP="00FE2555">
          <w:pPr>
            <w:pStyle w:val="PagenumberAgency"/>
            <w:rPr>
              <w:rFonts w:cs="Times New Roman"/>
              <w:sz w:val="18"/>
              <w:szCs w:val="18"/>
            </w:rPr>
          </w:pPr>
          <w:r w:rsidRPr="00B3310A">
            <w:rPr>
              <w:rFonts w:cs="Times New Roman"/>
              <w:sz w:val="18"/>
              <w:szCs w:val="18"/>
            </w:rPr>
            <w:t xml:space="preserve">Page </w:t>
          </w:r>
          <w:r w:rsidRPr="00B3310A">
            <w:rPr>
              <w:rFonts w:cs="Times New Roman"/>
              <w:sz w:val="18"/>
              <w:szCs w:val="18"/>
            </w:rPr>
            <w:fldChar w:fldCharType="begin"/>
          </w:r>
          <w:r w:rsidRPr="00B3310A">
            <w:rPr>
              <w:rFonts w:cs="Times New Roman"/>
              <w:sz w:val="18"/>
              <w:szCs w:val="18"/>
            </w:rPr>
            <w:instrText xml:space="preserve"> PAGE </w:instrText>
          </w:r>
          <w:r w:rsidRPr="00B3310A">
            <w:rPr>
              <w:rFonts w:cs="Times New Roman"/>
              <w:sz w:val="18"/>
              <w:szCs w:val="18"/>
            </w:rPr>
            <w:fldChar w:fldCharType="separate"/>
          </w:r>
          <w:r w:rsidR="00B667E1">
            <w:rPr>
              <w:rFonts w:cs="Times New Roman"/>
              <w:noProof/>
              <w:sz w:val="18"/>
              <w:szCs w:val="18"/>
            </w:rPr>
            <w:t>2</w:t>
          </w:r>
          <w:r w:rsidRPr="00B3310A">
            <w:rPr>
              <w:rFonts w:cs="Times New Roman"/>
              <w:sz w:val="18"/>
              <w:szCs w:val="18"/>
            </w:rPr>
            <w:fldChar w:fldCharType="end"/>
          </w:r>
          <w:r w:rsidRPr="00B3310A">
            <w:rPr>
              <w:rFonts w:cs="Times New Roman"/>
              <w:sz w:val="18"/>
              <w:szCs w:val="18"/>
            </w:rPr>
            <w:t>/</w:t>
          </w:r>
          <w:r w:rsidRPr="00B3310A">
            <w:rPr>
              <w:rFonts w:cs="Times New Roman"/>
              <w:sz w:val="18"/>
              <w:szCs w:val="18"/>
            </w:rPr>
            <w:fldChar w:fldCharType="begin"/>
          </w:r>
          <w:r w:rsidRPr="00B3310A">
            <w:rPr>
              <w:rFonts w:cs="Times New Roman"/>
              <w:sz w:val="18"/>
              <w:szCs w:val="18"/>
            </w:rPr>
            <w:instrText xml:space="preserve"> NUMPAGES </w:instrText>
          </w:r>
          <w:r w:rsidRPr="00B3310A">
            <w:rPr>
              <w:rFonts w:cs="Times New Roman"/>
              <w:sz w:val="18"/>
              <w:szCs w:val="18"/>
            </w:rPr>
            <w:fldChar w:fldCharType="separate"/>
          </w:r>
          <w:r w:rsidR="00B667E1">
            <w:rPr>
              <w:rFonts w:cs="Times New Roman"/>
              <w:noProof/>
              <w:sz w:val="18"/>
              <w:szCs w:val="18"/>
            </w:rPr>
            <w:t>2</w:t>
          </w:r>
          <w:r w:rsidRPr="00B3310A">
            <w:rPr>
              <w:rFonts w:cs="Times New Roman"/>
              <w:sz w:val="18"/>
              <w:szCs w:val="18"/>
            </w:rPr>
            <w:fldChar w:fldCharType="end"/>
          </w:r>
        </w:p>
      </w:tc>
    </w:tr>
    <w:tr w:rsidR="004D3C47" w:rsidRPr="00D81938" w14:paraId="312C3D1A" w14:textId="77777777" w:rsidTr="00FE2555">
      <w:tc>
        <w:tcPr>
          <w:tcW w:w="3291" w:type="pct"/>
          <w:shd w:val="clear" w:color="auto" w:fill="auto"/>
          <w:tcMar>
            <w:left w:w="0" w:type="dxa"/>
            <w:right w:w="0" w:type="dxa"/>
          </w:tcMar>
        </w:tcPr>
        <w:p w14:paraId="23CB9A5B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709" w:type="pct"/>
          <w:shd w:val="clear" w:color="auto" w:fill="auto"/>
          <w:tcMar>
            <w:left w:w="0" w:type="dxa"/>
            <w:right w:w="0" w:type="dxa"/>
          </w:tcMar>
        </w:tcPr>
        <w:p w14:paraId="54ED5D97" w14:textId="77777777" w:rsidR="004D3C47" w:rsidRPr="00D81938" w:rsidRDefault="005D77FC" w:rsidP="00FE2555">
          <w:pPr>
            <w:pStyle w:val="PagenumberAgency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14:paraId="0930E0B8" w14:textId="77777777" w:rsidR="004D3C47" w:rsidRPr="004F2374" w:rsidRDefault="005D77FC">
    <w:pPr>
      <w:pStyle w:val="Stopka"/>
      <w:rPr>
        <w:rFonts w:ascii="Verdana" w:hAnsi="Verdana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1E0" w:firstRow="1" w:lastRow="1" w:firstColumn="1" w:lastColumn="1" w:noHBand="0" w:noVBand="0"/>
    </w:tblPr>
    <w:tblGrid>
      <w:gridCol w:w="6196"/>
      <w:gridCol w:w="3217"/>
    </w:tblGrid>
    <w:tr w:rsidR="004D3C47" w:rsidRPr="00D81938" w14:paraId="02166C75" w14:textId="77777777" w:rsidTr="00FE2555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left w:w="0" w:type="dxa"/>
            <w:right w:w="0" w:type="dxa"/>
          </w:tcMar>
        </w:tcPr>
        <w:p w14:paraId="7584C8C0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4D3C47" w:rsidRPr="00D81938" w14:paraId="22F03E35" w14:textId="77777777" w:rsidTr="00FE2555">
      <w:tc>
        <w:tcPr>
          <w:tcW w:w="3291" w:type="pct"/>
          <w:shd w:val="clear" w:color="auto" w:fill="auto"/>
          <w:tcMar>
            <w:left w:w="0" w:type="dxa"/>
            <w:right w:w="0" w:type="dxa"/>
          </w:tcMar>
        </w:tcPr>
        <w:p w14:paraId="314B7DFA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709" w:type="pct"/>
          <w:shd w:val="clear" w:color="auto" w:fill="auto"/>
          <w:tcMar>
            <w:left w:w="0" w:type="dxa"/>
            <w:right w:w="0" w:type="dxa"/>
          </w:tcMar>
        </w:tcPr>
        <w:p w14:paraId="382C9F83" w14:textId="77777777" w:rsidR="004D3C47" w:rsidRPr="00B3310A" w:rsidRDefault="00FB2AAF" w:rsidP="00FE2555">
          <w:pPr>
            <w:pStyle w:val="PagenumberAgency"/>
            <w:rPr>
              <w:rFonts w:cs="Times New Roman"/>
              <w:sz w:val="18"/>
              <w:szCs w:val="18"/>
            </w:rPr>
          </w:pPr>
          <w:r w:rsidRPr="00B3310A">
            <w:rPr>
              <w:rFonts w:cs="Times New Roman"/>
              <w:sz w:val="18"/>
              <w:szCs w:val="18"/>
            </w:rPr>
            <w:t xml:space="preserve">Page </w:t>
          </w:r>
          <w:r w:rsidRPr="00B3310A">
            <w:rPr>
              <w:rFonts w:cs="Times New Roman"/>
              <w:sz w:val="18"/>
              <w:szCs w:val="18"/>
            </w:rPr>
            <w:fldChar w:fldCharType="begin"/>
          </w:r>
          <w:r w:rsidRPr="00B3310A">
            <w:rPr>
              <w:rFonts w:cs="Times New Roman"/>
              <w:sz w:val="18"/>
              <w:szCs w:val="18"/>
            </w:rPr>
            <w:instrText xml:space="preserve"> PAGE </w:instrText>
          </w:r>
          <w:r w:rsidRPr="00B3310A">
            <w:rPr>
              <w:rFonts w:cs="Times New Roman"/>
              <w:sz w:val="18"/>
              <w:szCs w:val="18"/>
            </w:rPr>
            <w:fldChar w:fldCharType="separate"/>
          </w:r>
          <w:r w:rsidR="00B667E1">
            <w:rPr>
              <w:rFonts w:cs="Times New Roman"/>
              <w:noProof/>
              <w:sz w:val="18"/>
              <w:szCs w:val="18"/>
            </w:rPr>
            <w:t>1</w:t>
          </w:r>
          <w:r w:rsidRPr="00B3310A">
            <w:rPr>
              <w:rFonts w:cs="Times New Roman"/>
              <w:sz w:val="18"/>
              <w:szCs w:val="18"/>
            </w:rPr>
            <w:fldChar w:fldCharType="end"/>
          </w:r>
          <w:r w:rsidRPr="00B3310A">
            <w:rPr>
              <w:rFonts w:cs="Times New Roman"/>
              <w:sz w:val="18"/>
              <w:szCs w:val="18"/>
            </w:rPr>
            <w:t>/</w:t>
          </w:r>
          <w:r w:rsidRPr="00B3310A">
            <w:rPr>
              <w:rFonts w:cs="Times New Roman"/>
              <w:sz w:val="18"/>
              <w:szCs w:val="18"/>
            </w:rPr>
            <w:fldChar w:fldCharType="begin"/>
          </w:r>
          <w:r w:rsidRPr="00B3310A">
            <w:rPr>
              <w:rFonts w:cs="Times New Roman"/>
              <w:sz w:val="18"/>
              <w:szCs w:val="18"/>
            </w:rPr>
            <w:instrText xml:space="preserve"> NUMPAGES </w:instrText>
          </w:r>
          <w:r w:rsidRPr="00B3310A">
            <w:rPr>
              <w:rFonts w:cs="Times New Roman"/>
              <w:sz w:val="18"/>
              <w:szCs w:val="18"/>
            </w:rPr>
            <w:fldChar w:fldCharType="separate"/>
          </w:r>
          <w:r w:rsidR="00B667E1">
            <w:rPr>
              <w:rFonts w:cs="Times New Roman"/>
              <w:noProof/>
              <w:sz w:val="18"/>
              <w:szCs w:val="18"/>
            </w:rPr>
            <w:t>2</w:t>
          </w:r>
          <w:r w:rsidRPr="00B3310A">
            <w:rPr>
              <w:rFonts w:cs="Times New Roman"/>
              <w:sz w:val="18"/>
              <w:szCs w:val="18"/>
            </w:rPr>
            <w:fldChar w:fldCharType="end"/>
          </w:r>
        </w:p>
      </w:tc>
    </w:tr>
    <w:tr w:rsidR="004D3C47" w:rsidRPr="00D81938" w14:paraId="4869734A" w14:textId="77777777" w:rsidTr="00FE2555">
      <w:tc>
        <w:tcPr>
          <w:tcW w:w="3291" w:type="pct"/>
          <w:shd w:val="clear" w:color="auto" w:fill="auto"/>
          <w:tcMar>
            <w:left w:w="0" w:type="dxa"/>
            <w:right w:w="0" w:type="dxa"/>
          </w:tcMar>
        </w:tcPr>
        <w:p w14:paraId="758F3405" w14:textId="77777777" w:rsidR="004D3C47" w:rsidRPr="00D81938" w:rsidRDefault="005D77FC" w:rsidP="00FE2555">
          <w:pPr>
            <w:pStyle w:val="FooterAgency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1709" w:type="pct"/>
          <w:shd w:val="clear" w:color="auto" w:fill="auto"/>
          <w:tcMar>
            <w:left w:w="0" w:type="dxa"/>
            <w:right w:w="0" w:type="dxa"/>
          </w:tcMar>
        </w:tcPr>
        <w:p w14:paraId="11CB8992" w14:textId="77777777" w:rsidR="004D3C47" w:rsidRPr="00D81938" w:rsidRDefault="005D77FC" w:rsidP="00FE2555">
          <w:pPr>
            <w:pStyle w:val="PagenumberAgency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14:paraId="1078C224" w14:textId="77777777" w:rsidR="004D3C47" w:rsidRPr="004F2374" w:rsidRDefault="005D77FC">
    <w:pPr>
      <w:pStyle w:val="Stopka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2087A" w14:textId="77777777" w:rsidR="00737506" w:rsidRDefault="00737506">
      <w:r>
        <w:separator/>
      </w:r>
    </w:p>
  </w:footnote>
  <w:footnote w:type="continuationSeparator" w:id="0">
    <w:p w14:paraId="5C922053" w14:textId="77777777" w:rsidR="00737506" w:rsidRDefault="00737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0710"/>
    <w:multiLevelType w:val="hybridMultilevel"/>
    <w:tmpl w:val="30F8F326"/>
    <w:lvl w:ilvl="0" w:tplc="6FE8B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32F59"/>
    <w:multiLevelType w:val="hybridMultilevel"/>
    <w:tmpl w:val="32147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A2FD9"/>
    <w:multiLevelType w:val="hybridMultilevel"/>
    <w:tmpl w:val="B04AA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85AF5"/>
    <w:multiLevelType w:val="hybridMultilevel"/>
    <w:tmpl w:val="EC6A1B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F69F6"/>
    <w:multiLevelType w:val="hybridMultilevel"/>
    <w:tmpl w:val="827E994A"/>
    <w:lvl w:ilvl="0" w:tplc="6FE8B2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30790"/>
    <w:multiLevelType w:val="hybridMultilevel"/>
    <w:tmpl w:val="97260A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CE78CA"/>
    <w:multiLevelType w:val="hybridMultilevel"/>
    <w:tmpl w:val="7118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9A6076"/>
    <w:multiLevelType w:val="hybridMultilevel"/>
    <w:tmpl w:val="957892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A75269"/>
    <w:multiLevelType w:val="hybridMultilevel"/>
    <w:tmpl w:val="925C7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818896">
    <w:abstractNumId w:val="4"/>
  </w:num>
  <w:num w:numId="2" w16cid:durableId="706443586">
    <w:abstractNumId w:val="0"/>
  </w:num>
  <w:num w:numId="3" w16cid:durableId="682244955">
    <w:abstractNumId w:val="1"/>
  </w:num>
  <w:num w:numId="4" w16cid:durableId="19859711">
    <w:abstractNumId w:val="2"/>
  </w:num>
  <w:num w:numId="5" w16cid:durableId="652560563">
    <w:abstractNumId w:val="8"/>
  </w:num>
  <w:num w:numId="6" w16cid:durableId="86311770">
    <w:abstractNumId w:val="3"/>
  </w:num>
  <w:num w:numId="7" w16cid:durableId="1028137575">
    <w:abstractNumId w:val="7"/>
  </w:num>
  <w:num w:numId="8" w16cid:durableId="1071318142">
    <w:abstractNumId w:val="6"/>
  </w:num>
  <w:num w:numId="9" w16cid:durableId="1831022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AAF"/>
    <w:rsid w:val="000120F2"/>
    <w:rsid w:val="0008680C"/>
    <w:rsid w:val="000A0A18"/>
    <w:rsid w:val="000E7EC8"/>
    <w:rsid w:val="00150DEE"/>
    <w:rsid w:val="001547C8"/>
    <w:rsid w:val="0017104C"/>
    <w:rsid w:val="0026231E"/>
    <w:rsid w:val="002832A3"/>
    <w:rsid w:val="002B419C"/>
    <w:rsid w:val="00306807"/>
    <w:rsid w:val="003D52C7"/>
    <w:rsid w:val="004053D3"/>
    <w:rsid w:val="00405412"/>
    <w:rsid w:val="00411F19"/>
    <w:rsid w:val="0043494D"/>
    <w:rsid w:val="00442DAE"/>
    <w:rsid w:val="00444A6B"/>
    <w:rsid w:val="00450F8F"/>
    <w:rsid w:val="00451F95"/>
    <w:rsid w:val="00456C1C"/>
    <w:rsid w:val="004745CC"/>
    <w:rsid w:val="004813FF"/>
    <w:rsid w:val="004E2528"/>
    <w:rsid w:val="004E328E"/>
    <w:rsid w:val="004F7443"/>
    <w:rsid w:val="00507673"/>
    <w:rsid w:val="005651B8"/>
    <w:rsid w:val="0056646A"/>
    <w:rsid w:val="005672DD"/>
    <w:rsid w:val="005A4EC7"/>
    <w:rsid w:val="005C3456"/>
    <w:rsid w:val="005D77FC"/>
    <w:rsid w:val="005E0FA4"/>
    <w:rsid w:val="00610DAE"/>
    <w:rsid w:val="0066771D"/>
    <w:rsid w:val="00676191"/>
    <w:rsid w:val="006A26BE"/>
    <w:rsid w:val="006C638C"/>
    <w:rsid w:val="006E2423"/>
    <w:rsid w:val="00737506"/>
    <w:rsid w:val="00753426"/>
    <w:rsid w:val="00763AEB"/>
    <w:rsid w:val="00790F20"/>
    <w:rsid w:val="007B4841"/>
    <w:rsid w:val="007E5127"/>
    <w:rsid w:val="00803EFE"/>
    <w:rsid w:val="00865F2B"/>
    <w:rsid w:val="00874B0A"/>
    <w:rsid w:val="008A3A74"/>
    <w:rsid w:val="008D1F29"/>
    <w:rsid w:val="009010C1"/>
    <w:rsid w:val="0093323F"/>
    <w:rsid w:val="0099383A"/>
    <w:rsid w:val="009A71B8"/>
    <w:rsid w:val="009B15C7"/>
    <w:rsid w:val="009D71F9"/>
    <w:rsid w:val="00A045DA"/>
    <w:rsid w:val="00A047B2"/>
    <w:rsid w:val="00A05A56"/>
    <w:rsid w:val="00A72DDF"/>
    <w:rsid w:val="00A7337C"/>
    <w:rsid w:val="00B15011"/>
    <w:rsid w:val="00B616BB"/>
    <w:rsid w:val="00B667E1"/>
    <w:rsid w:val="00BB713D"/>
    <w:rsid w:val="00BC29F5"/>
    <w:rsid w:val="00BF3A61"/>
    <w:rsid w:val="00C6243D"/>
    <w:rsid w:val="00CB1DC3"/>
    <w:rsid w:val="00CF752E"/>
    <w:rsid w:val="00D027F0"/>
    <w:rsid w:val="00D3668D"/>
    <w:rsid w:val="00DD07A9"/>
    <w:rsid w:val="00DD5974"/>
    <w:rsid w:val="00E16FAB"/>
    <w:rsid w:val="00E33488"/>
    <w:rsid w:val="00E469A5"/>
    <w:rsid w:val="00E663CF"/>
    <w:rsid w:val="00EB54E3"/>
    <w:rsid w:val="00F10E4E"/>
    <w:rsid w:val="00FB1A5F"/>
    <w:rsid w:val="00FB2AAF"/>
    <w:rsid w:val="00FD4FCA"/>
    <w:rsid w:val="00FE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B08AB"/>
  <w15:chartTrackingRefBased/>
  <w15:docId w15:val="{84E19D0A-6B25-4725-AD7C-D837C942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2AAF"/>
    <w:pPr>
      <w:spacing w:after="0" w:line="240" w:lineRule="auto"/>
    </w:pPr>
    <w:rPr>
      <w:rFonts w:ascii="Verdana" w:eastAsia="SimSun" w:hAnsi="Verdana" w:cs="Verdana"/>
      <w:sz w:val="18"/>
      <w:szCs w:val="18"/>
      <w:lang w:val="en-GB"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68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FB2AAF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customStyle="1" w:styleId="StopkaZnak">
    <w:name w:val="Stopka Znak"/>
    <w:basedOn w:val="Domylnaczcionkaakapitu"/>
    <w:link w:val="Stopka"/>
    <w:semiHidden/>
    <w:rsid w:val="00FB2AAF"/>
    <w:rPr>
      <w:rFonts w:ascii="Arial" w:eastAsia="Times New Roman" w:hAnsi="Arial" w:cs="Verdana"/>
      <w:sz w:val="16"/>
      <w:szCs w:val="20"/>
      <w:lang w:val="en-GB"/>
    </w:rPr>
  </w:style>
  <w:style w:type="paragraph" w:customStyle="1" w:styleId="FooterAgency">
    <w:name w:val="Footer (Agency)"/>
    <w:basedOn w:val="Normalny"/>
    <w:link w:val="FooterAgencyCharChar"/>
    <w:semiHidden/>
    <w:rsid w:val="00FB2AAF"/>
    <w:rPr>
      <w:rFonts w:eastAsia="Verdana"/>
      <w:color w:val="6D6F71"/>
      <w:sz w:val="14"/>
      <w:szCs w:val="14"/>
      <w:lang w:eastAsia="en-GB"/>
    </w:rPr>
  </w:style>
  <w:style w:type="character" w:customStyle="1" w:styleId="FooterAgencyCharChar">
    <w:name w:val="Footer (Agency) Char Char"/>
    <w:link w:val="FooterAgency"/>
    <w:semiHidden/>
    <w:rsid w:val="00FB2AAF"/>
    <w:rPr>
      <w:rFonts w:ascii="Verdana" w:eastAsia="Verdana" w:hAnsi="Verdana" w:cs="Verdana"/>
      <w:color w:val="6D6F71"/>
      <w:sz w:val="14"/>
      <w:szCs w:val="14"/>
      <w:lang w:val="en-GB" w:eastAsia="en-GB"/>
    </w:rPr>
  </w:style>
  <w:style w:type="paragraph" w:customStyle="1" w:styleId="PagenumberAgency">
    <w:name w:val="Page number (Agency)"/>
    <w:basedOn w:val="Normalny"/>
    <w:next w:val="Normalny"/>
    <w:link w:val="PagenumberAgencyCharChar"/>
    <w:semiHidden/>
    <w:rsid w:val="00FB2AAF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FB2AAF"/>
    <w:rPr>
      <w:rFonts w:ascii="Verdana" w:eastAsia="Verdana" w:hAnsi="Verdana" w:cs="Verdana"/>
      <w:color w:val="6D6F71"/>
      <w:sz w:val="14"/>
      <w:szCs w:val="14"/>
      <w:lang w:val="en-GB" w:eastAsia="en-GB"/>
    </w:rPr>
  </w:style>
  <w:style w:type="paragraph" w:customStyle="1" w:styleId="BodytextAgency">
    <w:name w:val="Body text (Agency)"/>
    <w:basedOn w:val="Normalny"/>
    <w:link w:val="BodytextAgencyChar"/>
    <w:qFormat/>
    <w:rsid w:val="00FB2AAF"/>
    <w:pPr>
      <w:spacing w:after="140" w:line="280" w:lineRule="atLeast"/>
    </w:pPr>
    <w:rPr>
      <w:rFonts w:eastAsia="Verdana"/>
      <w:lang w:eastAsia="en-GB"/>
    </w:rPr>
  </w:style>
  <w:style w:type="paragraph" w:customStyle="1" w:styleId="HeaderAgency">
    <w:name w:val="Header (Agency)"/>
    <w:basedOn w:val="FooterAgency"/>
    <w:semiHidden/>
    <w:rsid w:val="00FB2AAF"/>
  </w:style>
  <w:style w:type="character" w:customStyle="1" w:styleId="BodytextAgencyChar">
    <w:name w:val="Body text (Agency) Char"/>
    <w:link w:val="BodytextAgency"/>
    <w:locked/>
    <w:rsid w:val="00FB2AAF"/>
    <w:rPr>
      <w:rFonts w:ascii="Verdana" w:eastAsia="Verdana" w:hAnsi="Verdana" w:cs="Verdana"/>
      <w:sz w:val="18"/>
      <w:szCs w:val="18"/>
      <w:lang w:val="en-GB" w:eastAsia="en-GB"/>
    </w:rPr>
  </w:style>
  <w:style w:type="paragraph" w:styleId="Nagwek">
    <w:name w:val="header"/>
    <w:basedOn w:val="Normalny"/>
    <w:link w:val="NagwekZnak"/>
    <w:rsid w:val="00FB2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B2AAF"/>
    <w:rPr>
      <w:rFonts w:ascii="Verdana" w:eastAsia="SimSun" w:hAnsi="Verdana" w:cs="Verdana"/>
      <w:sz w:val="18"/>
      <w:szCs w:val="18"/>
      <w:lang w:val="en-GB" w:eastAsia="zh-CN"/>
    </w:rPr>
  </w:style>
  <w:style w:type="character" w:styleId="Odwoaniedokomentarza">
    <w:name w:val="annotation reference"/>
    <w:uiPriority w:val="99"/>
    <w:rsid w:val="00FB2AA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2A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B2AAF"/>
    <w:rPr>
      <w:rFonts w:ascii="Verdana" w:eastAsia="SimSun" w:hAnsi="Verdana" w:cs="Verdana"/>
      <w:sz w:val="20"/>
      <w:szCs w:val="20"/>
      <w:lang w:val="en-GB" w:eastAsia="zh-CN"/>
    </w:rPr>
  </w:style>
  <w:style w:type="paragraph" w:customStyle="1" w:styleId="DoccategoryheadingAgency">
    <w:name w:val="Doc category heading (Agency)"/>
    <w:next w:val="BodytextAgency"/>
    <w:qFormat/>
    <w:rsid w:val="00FB2AAF"/>
    <w:pPr>
      <w:keepNext/>
      <w:pBdr>
        <w:bottom w:val="single" w:sz="4" w:space="1" w:color="auto"/>
      </w:pBdr>
      <w:spacing w:before="567" w:after="0" w:line="240" w:lineRule="auto"/>
    </w:pPr>
    <w:rPr>
      <w:rFonts w:ascii="Verdana" w:eastAsia="Verdana" w:hAnsi="Verdana" w:cs="Verdana"/>
      <w:b/>
      <w:color w:val="003399"/>
      <w:sz w:val="18"/>
      <w:szCs w:val="18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AAF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AAF"/>
    <w:rPr>
      <w:rFonts w:ascii="Segoe UI" w:eastAsia="SimSun" w:hAnsi="Segoe UI" w:cs="Segoe UI"/>
      <w:sz w:val="18"/>
      <w:szCs w:val="18"/>
      <w:lang w:val="en-GB"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4E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4EC7"/>
    <w:rPr>
      <w:rFonts w:ascii="Verdana" w:eastAsia="SimSun" w:hAnsi="Verdana" w:cs="Verdana"/>
      <w:b/>
      <w:bCs/>
      <w:sz w:val="20"/>
      <w:szCs w:val="20"/>
      <w:lang w:val="en-GB" w:eastAsia="zh-CN"/>
    </w:rPr>
  </w:style>
  <w:style w:type="paragraph" w:styleId="Akapitzlist">
    <w:name w:val="List Paragraph"/>
    <w:basedOn w:val="Normalny"/>
    <w:uiPriority w:val="34"/>
    <w:qFormat/>
    <w:rsid w:val="00790F20"/>
    <w:pPr>
      <w:ind w:left="720"/>
      <w:contextualSpacing/>
    </w:pPr>
  </w:style>
  <w:style w:type="character" w:customStyle="1" w:styleId="tlid-translation">
    <w:name w:val="tlid-translation"/>
    <w:basedOn w:val="Domylnaczcionkaakapitu"/>
    <w:rsid w:val="001547C8"/>
  </w:style>
  <w:style w:type="character" w:customStyle="1" w:styleId="Nagwek2Znak">
    <w:name w:val="Nagłówek 2 Znak"/>
    <w:basedOn w:val="Domylnaczcionkaakapitu"/>
    <w:link w:val="Nagwek2"/>
    <w:uiPriority w:val="9"/>
    <w:rsid w:val="000868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zh-CN"/>
    </w:rPr>
  </w:style>
  <w:style w:type="paragraph" w:styleId="Poprawka">
    <w:name w:val="Revision"/>
    <w:hidden/>
    <w:uiPriority w:val="99"/>
    <w:semiHidden/>
    <w:rsid w:val="0008680C"/>
    <w:pPr>
      <w:spacing w:after="0" w:line="240" w:lineRule="auto"/>
    </w:pPr>
    <w:rPr>
      <w:rFonts w:ascii="Verdana" w:eastAsia="SimSun" w:hAnsi="Verdana" w:cs="Verdana"/>
      <w:sz w:val="18"/>
      <w:szCs w:val="18"/>
      <w:lang w:val="en-GB" w:eastAsia="zh-CN"/>
    </w:rPr>
  </w:style>
  <w:style w:type="paragraph" w:styleId="Tekstpodstawowy">
    <w:name w:val="Body Text"/>
    <w:basedOn w:val="Normalny"/>
    <w:link w:val="TekstpodstawowyZnak"/>
    <w:uiPriority w:val="1"/>
    <w:qFormat/>
    <w:rsid w:val="000A0A18"/>
    <w:pPr>
      <w:widowControl w:val="0"/>
      <w:autoSpaceDE w:val="0"/>
      <w:autoSpaceDN w:val="0"/>
      <w:adjustRightInd w:val="0"/>
      <w:spacing w:before="2"/>
      <w:ind w:left="11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0A1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2BE86-E397-41F1-A8BD-54ADB4D7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686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Kruszeska Agnieszka</dc:creator>
  <cp:keywords/>
  <dc:description/>
  <cp:lastModifiedBy>Samela Edyta</cp:lastModifiedBy>
  <cp:revision>6</cp:revision>
  <cp:lastPrinted>2022-12-09T15:30:00Z</cp:lastPrinted>
  <dcterms:created xsi:type="dcterms:W3CDTF">2022-12-08T14:00:00Z</dcterms:created>
  <dcterms:modified xsi:type="dcterms:W3CDTF">2022-12-09T15:30:00Z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7fe2295cd61a39acc2190b565583cf4c897d15a8339e6d11fdc7c8d7f35ac38a</vt:lpwstr>
  </property>
</Properties>
</file>