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B48D7" w14:textId="77777777" w:rsidR="00941ED9" w:rsidRPr="00F6302F" w:rsidRDefault="00931F61" w:rsidP="00010F76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6302F">
        <w:rPr>
          <w:rFonts w:ascii="Times New Roman" w:hAnsi="Times New Roman" w:cs="Times New Roman"/>
          <w:b/>
          <w:bCs/>
          <w:color w:val="auto"/>
          <w:sz w:val="28"/>
          <w:szCs w:val="28"/>
        </w:rPr>
        <w:t>Część</w:t>
      </w:r>
      <w:r w:rsidRPr="00F6302F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="00941ED9" w:rsidRPr="00F6302F">
        <w:rPr>
          <w:rFonts w:ascii="Times New Roman" w:hAnsi="Times New Roman" w:cs="Times New Roman"/>
          <w:b/>
          <w:bCs/>
          <w:color w:val="auto"/>
          <w:sz w:val="28"/>
          <w:szCs w:val="28"/>
        </w:rPr>
        <w:t>VI: Streszcz</w:t>
      </w:r>
      <w:r w:rsidRPr="00F6302F">
        <w:rPr>
          <w:rFonts w:ascii="Times New Roman" w:hAnsi="Times New Roman" w:cs="Times New Roman"/>
          <w:b/>
          <w:bCs/>
          <w:color w:val="auto"/>
          <w:sz w:val="28"/>
          <w:szCs w:val="28"/>
        </w:rPr>
        <w:t>enie planu zarządzania ryzykiem</w:t>
      </w:r>
    </w:p>
    <w:p w14:paraId="5F761C59" w14:textId="77777777" w:rsidR="00931F61" w:rsidRPr="00F6302F" w:rsidRDefault="00931F61" w:rsidP="00010F76">
      <w:pPr>
        <w:pStyle w:val="Default"/>
        <w:rPr>
          <w:rFonts w:ascii="Times New Roman" w:hAnsi="Times New Roman" w:cs="Times New Roman"/>
          <w:color w:val="008000"/>
          <w:sz w:val="22"/>
          <w:szCs w:val="22"/>
        </w:rPr>
      </w:pPr>
    </w:p>
    <w:p w14:paraId="512A5DAB" w14:textId="77777777" w:rsidR="00941ED9" w:rsidRPr="00851B2A" w:rsidRDefault="00941ED9" w:rsidP="00010F76">
      <w:pPr>
        <w:pStyle w:val="Default"/>
        <w:rPr>
          <w:rFonts w:ascii="Times New Roman" w:hAnsi="Times New Roman" w:cs="Times New Roman"/>
          <w:bCs/>
          <w:color w:val="0070C0"/>
          <w:sz w:val="32"/>
          <w:szCs w:val="32"/>
        </w:rPr>
      </w:pPr>
      <w:r w:rsidRPr="00851B2A">
        <w:rPr>
          <w:rFonts w:ascii="Times New Roman" w:hAnsi="Times New Roman" w:cs="Times New Roman"/>
          <w:bCs/>
          <w:color w:val="0070C0"/>
          <w:sz w:val="32"/>
          <w:szCs w:val="32"/>
        </w:rPr>
        <w:t xml:space="preserve">Streszczenie planu zarządzania ryzykiem dla produktu leczniczego </w:t>
      </w:r>
      <w:r w:rsidR="00D72527">
        <w:rPr>
          <w:rFonts w:ascii="Times New Roman" w:hAnsi="Times New Roman" w:cs="Times New Roman"/>
          <w:bCs/>
          <w:color w:val="0070C0"/>
          <w:sz w:val="32"/>
          <w:szCs w:val="32"/>
        </w:rPr>
        <w:t xml:space="preserve">TIGRIX, tabletki powlekane, 60 mg i 90 mg </w:t>
      </w:r>
      <w:r w:rsidR="00A956DC" w:rsidRPr="00851B2A">
        <w:rPr>
          <w:rFonts w:ascii="Times New Roman" w:hAnsi="Times New Roman" w:cs="Times New Roman"/>
          <w:bCs/>
          <w:color w:val="0070C0"/>
          <w:sz w:val="32"/>
          <w:szCs w:val="32"/>
        </w:rPr>
        <w:t>(</w:t>
      </w:r>
      <w:proofErr w:type="spellStart"/>
      <w:r w:rsidR="00D72527">
        <w:rPr>
          <w:rFonts w:ascii="Times New Roman" w:hAnsi="Times New Roman" w:cs="Times New Roman"/>
          <w:bCs/>
          <w:color w:val="0070C0"/>
          <w:sz w:val="32"/>
          <w:szCs w:val="32"/>
        </w:rPr>
        <w:t>tikagrelor</w:t>
      </w:r>
      <w:proofErr w:type="spellEnd"/>
      <w:r w:rsidR="00B16B0F">
        <w:rPr>
          <w:rFonts w:ascii="Times New Roman" w:hAnsi="Times New Roman" w:cs="Times New Roman"/>
          <w:bCs/>
          <w:color w:val="0070C0"/>
          <w:sz w:val="32"/>
          <w:szCs w:val="32"/>
        </w:rPr>
        <w:t>)</w:t>
      </w:r>
    </w:p>
    <w:p w14:paraId="61585311" w14:textId="77777777" w:rsidR="00A956DC" w:rsidRPr="00F6302F" w:rsidRDefault="00A956DC" w:rsidP="00010F7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477AD3D" w14:textId="77777777" w:rsidR="009C3EA3" w:rsidRDefault="009C3EA3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 xml:space="preserve">To jest streszczenie planu zarządzania ryzykiem dla produktu leczniczego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Pr="00F6302F">
        <w:rPr>
          <w:rFonts w:ascii="Times New Roman" w:hAnsi="Times New Roman"/>
          <w:sz w:val="22"/>
          <w:szCs w:val="22"/>
          <w:lang w:val="pl-PL"/>
        </w:rPr>
        <w:t xml:space="preserve">. Dokument opisuje w szczegółowy sposób istotne ryzyka związane ze stosowaniem produktu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Pr="00F6302F">
        <w:rPr>
          <w:rFonts w:ascii="Times New Roman" w:hAnsi="Times New Roman"/>
          <w:sz w:val="22"/>
          <w:szCs w:val="22"/>
          <w:lang w:val="pl-PL"/>
        </w:rPr>
        <w:t xml:space="preserve">, w jaki sposób ryzyko można ograniczyć, i jak pozyskać więcej informacji o zagrożeniach i danych na temat brakujących informacji związanych z przyjmowaniem produktu leczniczego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Pr="00F6302F">
        <w:rPr>
          <w:rFonts w:ascii="Times New Roman" w:hAnsi="Times New Roman"/>
          <w:sz w:val="22"/>
          <w:szCs w:val="22"/>
          <w:lang w:val="pl-PL"/>
        </w:rPr>
        <w:t>.</w:t>
      </w:r>
    </w:p>
    <w:p w14:paraId="4E3DAC84" w14:textId="77777777" w:rsidR="001A6F3E" w:rsidRPr="00F6302F" w:rsidRDefault="001A6F3E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F101600" w14:textId="77777777" w:rsidR="009C3EA3" w:rsidRPr="003048A8" w:rsidRDefault="009C3EA3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3048A8">
        <w:rPr>
          <w:rFonts w:ascii="Times New Roman" w:hAnsi="Times New Roman"/>
          <w:sz w:val="22"/>
          <w:szCs w:val="22"/>
          <w:lang w:val="pl-PL"/>
        </w:rPr>
        <w:t xml:space="preserve">Charakterystyka produktu leczniczego </w:t>
      </w:r>
      <w:r w:rsidR="003D3DE6" w:rsidRPr="003048A8">
        <w:rPr>
          <w:rFonts w:ascii="Times New Roman" w:hAnsi="Times New Roman"/>
          <w:sz w:val="22"/>
          <w:szCs w:val="22"/>
          <w:lang w:val="pl-PL"/>
        </w:rPr>
        <w:t>TIGRIX</w:t>
      </w:r>
      <w:r w:rsidR="00AE6BBA" w:rsidRPr="003048A8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03048A8">
        <w:rPr>
          <w:rFonts w:ascii="Times New Roman" w:hAnsi="Times New Roman"/>
          <w:sz w:val="22"/>
          <w:szCs w:val="22"/>
          <w:lang w:val="pl-PL"/>
        </w:rPr>
        <w:t xml:space="preserve">i ulotka dla pacjenta zawiera </w:t>
      </w:r>
      <w:r w:rsidR="00E20B8A" w:rsidRPr="003048A8">
        <w:rPr>
          <w:rFonts w:ascii="Times New Roman" w:hAnsi="Times New Roman"/>
          <w:sz w:val="22"/>
          <w:szCs w:val="22"/>
          <w:lang w:val="pl-PL"/>
        </w:rPr>
        <w:t>n</w:t>
      </w:r>
      <w:r w:rsidRPr="003048A8">
        <w:rPr>
          <w:rFonts w:ascii="Times New Roman" w:hAnsi="Times New Roman"/>
          <w:sz w:val="22"/>
          <w:szCs w:val="22"/>
          <w:lang w:val="pl-PL"/>
        </w:rPr>
        <w:t xml:space="preserve">ajważniejsze informacje dla osób wykonujących zawody medyczne i dla pacjentów, jak produkt leczniczy </w:t>
      </w:r>
      <w:r w:rsidR="003D3DE6" w:rsidRPr="003048A8">
        <w:rPr>
          <w:rFonts w:ascii="Times New Roman" w:hAnsi="Times New Roman"/>
          <w:sz w:val="22"/>
          <w:szCs w:val="22"/>
          <w:lang w:val="pl-PL"/>
        </w:rPr>
        <w:t>TIGRIX</w:t>
      </w:r>
      <w:r w:rsidR="00AE6BBA" w:rsidRPr="003048A8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03048A8">
        <w:rPr>
          <w:rFonts w:ascii="Times New Roman" w:hAnsi="Times New Roman"/>
          <w:sz w:val="22"/>
          <w:szCs w:val="22"/>
          <w:lang w:val="pl-PL"/>
        </w:rPr>
        <w:t>powinien być stosowany.</w:t>
      </w:r>
    </w:p>
    <w:p w14:paraId="1728D3DF" w14:textId="77777777" w:rsidR="00450F92" w:rsidRPr="003048A8" w:rsidRDefault="00450F92" w:rsidP="00010F7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pl-PL"/>
        </w:rPr>
      </w:pPr>
    </w:p>
    <w:p w14:paraId="1454CBA2" w14:textId="77777777" w:rsidR="00E20CF5" w:rsidRPr="003048A8" w:rsidRDefault="00E20CF5" w:rsidP="00010F7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1414D37B" w14:textId="77777777" w:rsidR="00941ED9" w:rsidRPr="003048A8" w:rsidRDefault="00941ED9" w:rsidP="00010F76">
      <w:pPr>
        <w:pStyle w:val="Default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Informacje o produkcie i wskazaniach do jego stosowania </w:t>
      </w:r>
    </w:p>
    <w:p w14:paraId="7E01D00D" w14:textId="77777777" w:rsidR="00941ED9" w:rsidRPr="003048A8" w:rsidRDefault="00941ED9" w:rsidP="00010F7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6976FAC" w14:textId="77777777" w:rsidR="002D4BF4" w:rsidRPr="003048A8" w:rsidRDefault="002D4BF4" w:rsidP="002D4BF4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3048A8">
        <w:rPr>
          <w:rFonts w:ascii="Times New Roman" w:eastAsia="TimesNewRoman" w:hAnsi="Times New Roman" w:cs="Times New Roman"/>
        </w:rPr>
        <w:t>Produkt leczniczy TIGRIX, w skojarzeniu z kwasem acetylosalicylowym (ASA) jest wskazany w celu</w:t>
      </w:r>
    </w:p>
    <w:p w14:paraId="1AA3D129" w14:textId="27B8EA2D" w:rsidR="002D4BF4" w:rsidRPr="003048A8" w:rsidRDefault="002D4BF4" w:rsidP="002D4BF4">
      <w:pPr>
        <w:autoSpaceDE w:val="0"/>
        <w:autoSpaceDN w:val="0"/>
        <w:adjustRightInd w:val="0"/>
        <w:rPr>
          <w:rFonts w:ascii="Times New Roman" w:eastAsia="TimesNewRoman" w:hAnsi="Times New Roman" w:cs="Times New Roman"/>
        </w:rPr>
      </w:pPr>
      <w:r w:rsidRPr="003048A8">
        <w:rPr>
          <w:rFonts w:ascii="Times New Roman" w:eastAsia="TimesNewRoman" w:hAnsi="Times New Roman" w:cs="Times New Roman"/>
        </w:rPr>
        <w:t xml:space="preserve">zapobiegania zdarzeniom </w:t>
      </w:r>
      <w:r w:rsidR="0043703D" w:rsidRPr="003048A8">
        <w:rPr>
          <w:rFonts w:ascii="Times New Roman" w:eastAsia="TimesNewRoman" w:hAnsi="Times New Roman" w:cs="Times New Roman"/>
        </w:rPr>
        <w:t xml:space="preserve">miażdżycowo-zakrzepowym </w:t>
      </w:r>
      <w:r w:rsidRPr="003048A8">
        <w:rPr>
          <w:rFonts w:ascii="Times New Roman" w:eastAsia="TimesNewRoman" w:hAnsi="Times New Roman" w:cs="Times New Roman"/>
        </w:rPr>
        <w:t>u dorosłych pacjentów:</w:t>
      </w:r>
    </w:p>
    <w:p w14:paraId="199BC3CD" w14:textId="77777777" w:rsidR="002D4BF4" w:rsidRPr="003048A8" w:rsidRDefault="002D4BF4" w:rsidP="002D4BF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567"/>
        <w:contextualSpacing w:val="0"/>
        <w:jc w:val="left"/>
        <w:rPr>
          <w:rFonts w:ascii="Times New Roman" w:eastAsia="TimesNewRoman" w:hAnsi="Times New Roman" w:cs="Times New Roman"/>
        </w:rPr>
      </w:pPr>
      <w:r w:rsidRPr="003048A8">
        <w:rPr>
          <w:rFonts w:ascii="Times New Roman" w:eastAsia="TimesNewRoman" w:hAnsi="Times New Roman" w:cs="Times New Roman"/>
        </w:rPr>
        <w:t>z ostrym zespołem wieńcowym (OZW) lub</w:t>
      </w:r>
    </w:p>
    <w:p w14:paraId="07B341E7" w14:textId="7BFC7B17" w:rsidR="006705B9" w:rsidRPr="003048A8" w:rsidRDefault="002D4BF4" w:rsidP="00F17775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567"/>
        <w:contextualSpacing w:val="0"/>
        <w:jc w:val="left"/>
        <w:rPr>
          <w:rFonts w:ascii="Times New Roman" w:eastAsia="TimesNewRoman" w:hAnsi="Times New Roman" w:cs="Times New Roman"/>
        </w:rPr>
      </w:pPr>
      <w:r w:rsidRPr="003048A8">
        <w:rPr>
          <w:rFonts w:ascii="Times New Roman" w:eastAsia="TimesNewRoman" w:hAnsi="Times New Roman" w:cs="Times New Roman"/>
        </w:rPr>
        <w:t xml:space="preserve">z zawałem mięśnia </w:t>
      </w:r>
      <w:r w:rsidR="00A211BA" w:rsidRPr="003048A8">
        <w:rPr>
          <w:rFonts w:ascii="Times New Roman" w:eastAsia="TimesNewRoman" w:hAnsi="Times New Roman" w:cs="Times New Roman"/>
        </w:rPr>
        <w:t xml:space="preserve">sercowego ( łac. </w:t>
      </w:r>
      <w:proofErr w:type="spellStart"/>
      <w:r w:rsidR="00A211BA" w:rsidRPr="003048A8">
        <w:rPr>
          <w:rFonts w:ascii="Times New Roman" w:eastAsia="TimesNewRoman" w:hAnsi="Times New Roman" w:cs="Times New Roman"/>
        </w:rPr>
        <w:t>infarctus</w:t>
      </w:r>
      <w:proofErr w:type="spellEnd"/>
      <w:r w:rsidR="00A211BA" w:rsidRPr="003048A8">
        <w:rPr>
          <w:rFonts w:ascii="Times New Roman" w:eastAsia="TimesNewRoman" w:hAnsi="Times New Roman" w:cs="Times New Roman"/>
        </w:rPr>
        <w:t xml:space="preserve"> </w:t>
      </w:r>
      <w:proofErr w:type="spellStart"/>
      <w:r w:rsidR="00A211BA" w:rsidRPr="003048A8">
        <w:rPr>
          <w:rFonts w:ascii="Times New Roman" w:eastAsia="TimesNewRoman" w:hAnsi="Times New Roman" w:cs="Times New Roman"/>
        </w:rPr>
        <w:t>myocardii</w:t>
      </w:r>
      <w:proofErr w:type="spellEnd"/>
      <w:r w:rsidR="00A211BA" w:rsidRPr="003048A8">
        <w:rPr>
          <w:rFonts w:ascii="Times New Roman" w:eastAsia="TimesNewRoman" w:hAnsi="Times New Roman" w:cs="Times New Roman"/>
        </w:rPr>
        <w:t xml:space="preserve"> </w:t>
      </w:r>
      <w:r w:rsidRPr="003048A8">
        <w:rPr>
          <w:rFonts w:ascii="Times New Roman" w:eastAsia="TimesNewRoman" w:hAnsi="Times New Roman" w:cs="Times New Roman"/>
        </w:rPr>
        <w:t xml:space="preserve">) w wywiadzie i wysokim ryzykiem </w:t>
      </w:r>
      <w:r w:rsidR="00A211BA" w:rsidRPr="003048A8">
        <w:rPr>
          <w:rFonts w:ascii="Times New Roman" w:eastAsia="TimesNewRoman" w:hAnsi="Times New Roman" w:cs="Times New Roman"/>
        </w:rPr>
        <w:t xml:space="preserve">rozwoju </w:t>
      </w:r>
      <w:r w:rsidRPr="003048A8">
        <w:rPr>
          <w:rFonts w:ascii="Times New Roman" w:eastAsia="TimesNewRoman" w:hAnsi="Times New Roman" w:cs="Times New Roman"/>
        </w:rPr>
        <w:t>zdarzeń</w:t>
      </w:r>
      <w:r w:rsidR="00F17775" w:rsidRPr="003048A8">
        <w:rPr>
          <w:rFonts w:ascii="Times New Roman" w:eastAsia="TimesNewRoman" w:hAnsi="Times New Roman" w:cs="Times New Roman"/>
        </w:rPr>
        <w:t xml:space="preserve"> </w:t>
      </w:r>
      <w:r w:rsidR="00D9641A" w:rsidRPr="003048A8">
        <w:rPr>
          <w:rFonts w:ascii="Times New Roman" w:eastAsia="TimesNewRoman" w:hAnsi="Times New Roman" w:cs="Times New Roman"/>
        </w:rPr>
        <w:t xml:space="preserve">miażdżycowo- zakrzepowych </w:t>
      </w:r>
      <w:r w:rsidRPr="003048A8">
        <w:rPr>
          <w:rFonts w:ascii="Times New Roman" w:eastAsia="TimesNewRoman" w:hAnsi="Times New Roman" w:cs="Times New Roman"/>
        </w:rPr>
        <w:t>(</w:t>
      </w:r>
      <w:r w:rsidR="00F17775" w:rsidRPr="003048A8">
        <w:rPr>
          <w:rFonts w:ascii="Times New Roman" w:eastAsia="TimesNewRoman" w:hAnsi="Times New Roman" w:cs="Times New Roman"/>
        </w:rPr>
        <w:t xml:space="preserve">patrz: </w:t>
      </w:r>
      <w:r w:rsidR="00CF4BB9" w:rsidRPr="003048A8">
        <w:rPr>
          <w:rFonts w:ascii="Times New Roman" w:hAnsi="Times New Roman" w:cs="Times New Roman"/>
          <w:sz w:val="24"/>
          <w:szCs w:val="24"/>
        </w:rPr>
        <w:t>Charakterystyka produktu leczniczego w celu uzyskania pełnych wskazań</w:t>
      </w:r>
      <w:r w:rsidR="00E32C8E" w:rsidRPr="003048A8">
        <w:rPr>
          <w:rFonts w:ascii="Times New Roman" w:eastAsia="TimesNewRoman" w:hAnsi="Times New Roman" w:cs="Times New Roman"/>
        </w:rPr>
        <w:t xml:space="preserve">). </w:t>
      </w:r>
      <w:r w:rsidR="006705B9" w:rsidRPr="003048A8">
        <w:rPr>
          <w:rFonts w:ascii="Times New Roman" w:hAnsi="Times New Roman" w:cs="Times New Roman"/>
          <w:bCs/>
        </w:rPr>
        <w:t xml:space="preserve">Zawiera </w:t>
      </w:r>
      <w:proofErr w:type="spellStart"/>
      <w:r w:rsidR="003301F4" w:rsidRPr="003048A8">
        <w:rPr>
          <w:rFonts w:ascii="Times New Roman" w:hAnsi="Times New Roman" w:cs="Times New Roman"/>
        </w:rPr>
        <w:t>t</w:t>
      </w:r>
      <w:r w:rsidR="003301F4" w:rsidRPr="003048A8">
        <w:rPr>
          <w:rFonts w:ascii="Times New Roman" w:eastAsia="TimesNewRoman" w:hAnsi="Times New Roman" w:cs="Times New Roman"/>
        </w:rPr>
        <w:t>ikagrelor</w:t>
      </w:r>
      <w:proofErr w:type="spellEnd"/>
      <w:r w:rsidR="006705B9" w:rsidRPr="003048A8">
        <w:rPr>
          <w:rFonts w:ascii="Times New Roman" w:hAnsi="Times New Roman" w:cs="Times New Roman"/>
          <w:bCs/>
        </w:rPr>
        <w:t xml:space="preserve"> jako substancję czynną i jest podawany </w:t>
      </w:r>
      <w:r w:rsidR="006705B9" w:rsidRPr="003048A8">
        <w:rPr>
          <w:rFonts w:ascii="Times New Roman" w:eastAsia="TimesNewRoman" w:hAnsi="Times New Roman" w:cs="Times New Roman"/>
        </w:rPr>
        <w:t>doustnie.</w:t>
      </w:r>
    </w:p>
    <w:p w14:paraId="02F3F7C4" w14:textId="77777777" w:rsidR="007B5CAC" w:rsidRPr="003048A8" w:rsidRDefault="007B5CAC" w:rsidP="00C01776">
      <w:pPr>
        <w:pStyle w:val="Default"/>
        <w:jc w:val="both"/>
        <w:rPr>
          <w:rFonts w:ascii="Times New Roman" w:eastAsia="TimesNewRoman" w:hAnsi="Times New Roman" w:cs="Times New Roman"/>
          <w:color w:val="auto"/>
        </w:rPr>
      </w:pPr>
    </w:p>
    <w:p w14:paraId="6474BA32" w14:textId="77777777" w:rsidR="00870A86" w:rsidRPr="003048A8" w:rsidRDefault="00870A86" w:rsidP="00870A86">
      <w:pPr>
        <w:autoSpaceDE w:val="0"/>
        <w:autoSpaceDN w:val="0"/>
        <w:adjustRightInd w:val="0"/>
        <w:ind w:left="567" w:hanging="567"/>
        <w:jc w:val="left"/>
        <w:rPr>
          <w:rFonts w:ascii="Times New Roman" w:eastAsia="TimesNewRoman" w:hAnsi="Times New Roman" w:cs="Times New Roman"/>
        </w:rPr>
      </w:pPr>
    </w:p>
    <w:p w14:paraId="6D17FF82" w14:textId="77777777" w:rsidR="00E1119C" w:rsidRPr="003048A8" w:rsidRDefault="00E1119C" w:rsidP="00870A86">
      <w:pPr>
        <w:pStyle w:val="BodytextAgency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  <w:lang w:val="pl-PL"/>
        </w:rPr>
      </w:pPr>
      <w:r w:rsidRPr="003048A8">
        <w:rPr>
          <w:rFonts w:ascii="Times New Roman" w:hAnsi="Times New Roman"/>
          <w:b/>
          <w:sz w:val="28"/>
          <w:szCs w:val="28"/>
          <w:lang w:val="pl-PL"/>
        </w:rPr>
        <w:t xml:space="preserve">Ryzyko związane ze stosowaniem produktu leczniczego i aktywności jakie należy podjąć w celu zmniejszenia ryzyka lub dalszego jego scharakteryzowania </w:t>
      </w:r>
    </w:p>
    <w:p w14:paraId="4CB20BEC" w14:textId="77777777" w:rsidR="00941ED9" w:rsidRPr="003048A8" w:rsidRDefault="00941ED9" w:rsidP="00010F7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5803393" w14:textId="77777777" w:rsidR="00E1119C" w:rsidRDefault="00E1119C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 xml:space="preserve">Istotne ryzyka </w:t>
      </w:r>
      <w:r w:rsidR="001E34D2" w:rsidRPr="00F6302F">
        <w:rPr>
          <w:rFonts w:ascii="Times New Roman" w:hAnsi="Times New Roman"/>
          <w:sz w:val="22"/>
          <w:szCs w:val="22"/>
          <w:lang w:val="pl-PL"/>
        </w:rPr>
        <w:t xml:space="preserve">produktu leczniczego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Pr="00F6302F">
        <w:rPr>
          <w:rFonts w:ascii="Times New Roman" w:hAnsi="Times New Roman"/>
          <w:sz w:val="22"/>
          <w:szCs w:val="22"/>
          <w:lang w:val="pl-PL"/>
        </w:rPr>
        <w:t xml:space="preserve">, łącznie z działaniami podejmowanymi w celu zmniejszenia tych </w:t>
      </w:r>
      <w:proofErr w:type="spellStart"/>
      <w:r w:rsidRPr="00F6302F">
        <w:rPr>
          <w:rFonts w:ascii="Times New Roman" w:hAnsi="Times New Roman"/>
          <w:sz w:val="22"/>
          <w:szCs w:val="22"/>
          <w:lang w:val="pl-PL"/>
        </w:rPr>
        <w:t>ryzyk</w:t>
      </w:r>
      <w:proofErr w:type="spellEnd"/>
      <w:r w:rsidRPr="00F6302F">
        <w:rPr>
          <w:rFonts w:ascii="Times New Roman" w:hAnsi="Times New Roman"/>
          <w:sz w:val="22"/>
          <w:szCs w:val="22"/>
          <w:lang w:val="pl-PL"/>
        </w:rPr>
        <w:t xml:space="preserve"> i propozycje badań umożliwiających lepsze poznanie zagrożeń związanych ze stosowaniem </w:t>
      </w:r>
      <w:r w:rsidR="001E34D2" w:rsidRPr="00F6302F">
        <w:rPr>
          <w:rFonts w:ascii="Times New Roman" w:hAnsi="Times New Roman"/>
          <w:sz w:val="22"/>
          <w:szCs w:val="22"/>
          <w:lang w:val="pl-PL"/>
        </w:rPr>
        <w:t xml:space="preserve">produktu leczniczego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="00AE6BBA" w:rsidRPr="00F6302F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0F6302F">
        <w:rPr>
          <w:rFonts w:ascii="Times New Roman" w:hAnsi="Times New Roman"/>
          <w:sz w:val="22"/>
          <w:szCs w:val="22"/>
          <w:lang w:val="pl-PL"/>
        </w:rPr>
        <w:t xml:space="preserve">wymieniono poniżej. </w:t>
      </w:r>
    </w:p>
    <w:p w14:paraId="02477C40" w14:textId="77777777" w:rsidR="00EB79BB" w:rsidRPr="00F6302F" w:rsidRDefault="00EB79BB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B7661AB" w14:textId="77777777" w:rsidR="00E1119C" w:rsidRPr="00F6302F" w:rsidRDefault="00E1119C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>Działania podejmowane w celu zmniejszenia ryzyka to:</w:t>
      </w:r>
    </w:p>
    <w:p w14:paraId="578D9C5D" w14:textId="77777777" w:rsidR="00E1119C" w:rsidRPr="00F6302F" w:rsidRDefault="00E1119C" w:rsidP="00444FAD">
      <w:pPr>
        <w:pStyle w:val="BodytextAgency"/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>Specjalne informacje, takie jak ostrzeżenia i specjalne środki ostrożności, zalecenia odnoszące się do prawidłowego sposobu stosowania, zamieszczone w ulotce dla pacjenta, w Charakterystyce produktu leczniczego przeznaczonej dla osób wykonujących zawody medyczne;</w:t>
      </w:r>
    </w:p>
    <w:p w14:paraId="6EB471F1" w14:textId="77777777" w:rsidR="00E1119C" w:rsidRPr="00F6302F" w:rsidRDefault="00E1119C" w:rsidP="00444FAD">
      <w:pPr>
        <w:pStyle w:val="BodytextAgency"/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>Ważne zalecenia zamieszczone na opakowaniu leku;</w:t>
      </w:r>
    </w:p>
    <w:p w14:paraId="1B841720" w14:textId="77777777" w:rsidR="00E1119C" w:rsidRPr="00F6302F" w:rsidRDefault="00E1119C" w:rsidP="00444FAD">
      <w:pPr>
        <w:pStyle w:val="BodytextAgency"/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>Zatwierdzenie odpowiedniej wielkości opakowania leku, zapewniające jego właściwe stosowanie;</w:t>
      </w:r>
    </w:p>
    <w:p w14:paraId="3577E1BF" w14:textId="77777777" w:rsidR="00E1119C" w:rsidRDefault="00E1119C" w:rsidP="00444FAD">
      <w:pPr>
        <w:pStyle w:val="BodytextAgency"/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>Nadanie właściwej kategorii dostępności leku – sposób w jaki pacjent nabywa lek (np. z lub bez recepty) może zminimalizować ryzyko związane z jego stosowaniem.</w:t>
      </w:r>
    </w:p>
    <w:p w14:paraId="531C1BED" w14:textId="77777777" w:rsidR="00E20B8A" w:rsidRDefault="00E20B8A" w:rsidP="00D4402E">
      <w:pPr>
        <w:pStyle w:val="BodytextAgency"/>
        <w:spacing w:after="0" w:line="240" w:lineRule="auto"/>
        <w:ind w:left="567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78682E22" w14:textId="77777777" w:rsidR="00E1119C" w:rsidRPr="00F6302F" w:rsidRDefault="00E1119C" w:rsidP="00D4402E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 xml:space="preserve">Wszystkie te działania to </w:t>
      </w:r>
      <w:r w:rsidRPr="00866CC1">
        <w:rPr>
          <w:rFonts w:ascii="Times New Roman" w:hAnsi="Times New Roman"/>
          <w:i/>
          <w:sz w:val="22"/>
          <w:szCs w:val="22"/>
          <w:lang w:val="pl-PL"/>
        </w:rPr>
        <w:t>rutynowe środki minimalizacji ryzyka</w:t>
      </w:r>
      <w:r w:rsidRPr="00F6302F">
        <w:rPr>
          <w:rFonts w:ascii="Times New Roman" w:hAnsi="Times New Roman"/>
          <w:sz w:val="22"/>
          <w:szCs w:val="22"/>
          <w:lang w:val="pl-PL"/>
        </w:rPr>
        <w:t>.</w:t>
      </w:r>
    </w:p>
    <w:p w14:paraId="4FBEC2CA" w14:textId="77777777" w:rsidR="00866CC1" w:rsidRDefault="00866CC1" w:rsidP="00010F7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pl-PL"/>
        </w:rPr>
      </w:pPr>
    </w:p>
    <w:p w14:paraId="6443A3B6" w14:textId="77777777" w:rsidR="00560386" w:rsidRPr="00560386" w:rsidRDefault="00560386" w:rsidP="00560386">
      <w:pPr>
        <w:pStyle w:val="BodytextAgency"/>
        <w:jc w:val="both"/>
        <w:rPr>
          <w:rFonts w:ascii="Times New Roman" w:hAnsi="Times New Roman"/>
          <w:sz w:val="22"/>
          <w:szCs w:val="22"/>
          <w:lang w:val="pl-PL"/>
        </w:rPr>
      </w:pPr>
      <w:r w:rsidRPr="00560386">
        <w:rPr>
          <w:rFonts w:ascii="Times New Roman" w:hAnsi="Times New Roman"/>
          <w:sz w:val="22"/>
          <w:szCs w:val="22"/>
          <w:lang w:val="pl-PL"/>
        </w:rPr>
        <w:t xml:space="preserve">Jeżeli brakuje jeszcze istotnych informacji, które mogłyby wpływać na bezpieczeństwo stosowania produktu leczniczego </w:t>
      </w:r>
      <w:r>
        <w:rPr>
          <w:rFonts w:ascii="Times New Roman" w:hAnsi="Times New Roman"/>
          <w:sz w:val="22"/>
          <w:szCs w:val="22"/>
          <w:lang w:val="pl-PL"/>
        </w:rPr>
        <w:t>TIGRIX</w:t>
      </w:r>
      <w:r w:rsidRPr="00560386">
        <w:rPr>
          <w:rFonts w:ascii="Times New Roman" w:hAnsi="Times New Roman"/>
          <w:sz w:val="22"/>
          <w:szCs w:val="22"/>
          <w:lang w:val="pl-PL"/>
        </w:rPr>
        <w:t xml:space="preserve"> są one wymienione poniżej jako „brakujące informacje”.</w:t>
      </w:r>
    </w:p>
    <w:p w14:paraId="11EC5F47" w14:textId="77777777" w:rsidR="00952D8B" w:rsidRPr="00F6302F" w:rsidRDefault="00952D8B" w:rsidP="00010F7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pl-PL"/>
        </w:rPr>
      </w:pPr>
    </w:p>
    <w:p w14:paraId="340FD852" w14:textId="77777777" w:rsidR="00941ED9" w:rsidRPr="00010F76" w:rsidRDefault="00EF4BBB" w:rsidP="00010F76">
      <w:pPr>
        <w:pStyle w:val="Default"/>
        <w:rPr>
          <w:rFonts w:ascii="Times New Roman" w:hAnsi="Times New Roman" w:cs="Times New Roman"/>
        </w:rPr>
      </w:pPr>
      <w:r w:rsidRPr="00010F76">
        <w:rPr>
          <w:rFonts w:ascii="Times New Roman" w:hAnsi="Times New Roman" w:cs="Times New Roman"/>
          <w:b/>
          <w:bCs/>
        </w:rPr>
        <w:t>II.A</w:t>
      </w:r>
      <w:r w:rsidRPr="00010F76">
        <w:rPr>
          <w:rFonts w:ascii="Times New Roman" w:hAnsi="Times New Roman" w:cs="Times New Roman"/>
          <w:b/>
          <w:bCs/>
        </w:rPr>
        <w:tab/>
      </w:r>
      <w:r w:rsidR="00941ED9" w:rsidRPr="00010F76">
        <w:rPr>
          <w:rFonts w:ascii="Times New Roman" w:hAnsi="Times New Roman" w:cs="Times New Roman"/>
          <w:b/>
          <w:bCs/>
        </w:rPr>
        <w:t xml:space="preserve">Lista istotnych zagrożeń i brakujących informacji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54"/>
      </w:tblGrid>
      <w:tr w:rsidR="003048A8" w:rsidRPr="003048A8" w14:paraId="709BCE74" w14:textId="77777777" w:rsidTr="008F09E3">
        <w:trPr>
          <w:trHeight w:val="137"/>
          <w:jc w:val="center"/>
        </w:trPr>
        <w:tc>
          <w:tcPr>
            <w:tcW w:w="9154" w:type="dxa"/>
          </w:tcPr>
          <w:p w14:paraId="5EEA9E19" w14:textId="77777777" w:rsidR="00B06089" w:rsidRPr="003048A8" w:rsidRDefault="00B06089" w:rsidP="00D4402E">
            <w:pPr>
              <w:pStyle w:val="BodytextAgency"/>
              <w:spacing w:after="0" w:line="240" w:lineRule="auto"/>
              <w:ind w:left="-67"/>
              <w:jc w:val="both"/>
              <w:rPr>
                <w:rFonts w:ascii="Times New Roman" w:hAnsi="Times New Roman"/>
                <w:iCs/>
                <w:sz w:val="22"/>
                <w:szCs w:val="22"/>
                <w:lang w:val="pl-PL"/>
              </w:rPr>
            </w:pPr>
            <w:r w:rsidRPr="003048A8">
              <w:rPr>
                <w:rFonts w:ascii="Times New Roman" w:hAnsi="Times New Roman"/>
                <w:iCs/>
                <w:sz w:val="22"/>
                <w:szCs w:val="22"/>
                <w:lang w:val="pl-PL"/>
              </w:rPr>
              <w:lastRenderedPageBreak/>
              <w:t xml:space="preserve">Istotne ryzyka związane ze stosowaniem </w:t>
            </w:r>
            <w:r w:rsidR="001E34D2" w:rsidRPr="003048A8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produktu leczniczego </w:t>
            </w:r>
            <w:r w:rsidR="003D3DE6" w:rsidRPr="003048A8">
              <w:rPr>
                <w:rFonts w:ascii="Times New Roman" w:hAnsi="Times New Roman"/>
                <w:sz w:val="22"/>
                <w:szCs w:val="22"/>
                <w:lang w:val="pl-PL"/>
              </w:rPr>
              <w:t>TIGRIX</w:t>
            </w:r>
            <w:r w:rsidR="00AE6BBA" w:rsidRPr="003048A8">
              <w:rPr>
                <w:rFonts w:ascii="Times New Roman" w:hAnsi="Times New Roman"/>
                <w:iCs/>
                <w:sz w:val="22"/>
                <w:szCs w:val="22"/>
                <w:lang w:val="pl-PL"/>
              </w:rPr>
              <w:t xml:space="preserve"> </w:t>
            </w:r>
            <w:r w:rsidRPr="003048A8">
              <w:rPr>
                <w:rFonts w:ascii="Times New Roman" w:hAnsi="Times New Roman"/>
                <w:iCs/>
                <w:sz w:val="22"/>
                <w:szCs w:val="22"/>
                <w:lang w:val="pl-PL"/>
              </w:rPr>
              <w:t xml:space="preserve">to ryzyka, które wymagają specjalnych działań z zakresu zarządzania ryzykiem, w celu dalszego zbadania lub podjęcia kroków minimalizujących ryzyko, w taki sposób żeby produkt leczniczy mógł być bezpiecznie podawany. Istotne ryzyka mogą odnosić się do ryzyka zidentyfikowanego lub potencjalnego. Zidentyfikowane ryzyka odnoszą się do sytuacji, w których w wystarczający sposób możemy udowodnić </w:t>
            </w:r>
            <w:r w:rsidR="0068644D" w:rsidRPr="003048A8">
              <w:rPr>
                <w:rFonts w:ascii="Times New Roman" w:hAnsi="Times New Roman"/>
                <w:iCs/>
                <w:sz w:val="22"/>
                <w:szCs w:val="22"/>
                <w:lang w:val="pl-PL"/>
              </w:rPr>
              <w:t xml:space="preserve">zależność ryzyka od stosowania </w:t>
            </w:r>
            <w:r w:rsidR="001E34D2" w:rsidRPr="003048A8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produktu leczniczego </w:t>
            </w:r>
            <w:r w:rsidR="003D3DE6" w:rsidRPr="003048A8">
              <w:rPr>
                <w:rFonts w:ascii="Times New Roman" w:hAnsi="Times New Roman"/>
                <w:sz w:val="22"/>
                <w:szCs w:val="22"/>
                <w:lang w:val="pl-PL"/>
              </w:rPr>
              <w:t>TIGRIX</w:t>
            </w:r>
            <w:r w:rsidRPr="003048A8">
              <w:rPr>
                <w:rFonts w:ascii="Times New Roman" w:hAnsi="Times New Roman"/>
                <w:iCs/>
                <w:sz w:val="22"/>
                <w:szCs w:val="22"/>
                <w:lang w:val="pl-PL"/>
              </w:rPr>
              <w:t xml:space="preserve">. Potencjalne ryzyka odnoszą się do sytuacji, w których związek zagrożenia ze stosowaniem leku jest oceniany jako możliwy, po wzięciu pod uwagę dostępnych danych, ale ten związek nie jest dotychczas w pełni ustalony i wymaga dalszej oceny. Brakujące informacje odnoszą się do informacji dotyczących bezpieczeństwa stosowania leku, których obecnie brakuje i wymagają zgromadzenia niezbędnych danych (np. dotyczące bezpieczeństwa podczas długotrwałego stosowania leku). </w:t>
            </w:r>
          </w:p>
          <w:p w14:paraId="69C01CE4" w14:textId="77777777" w:rsidR="00EF4BBB" w:rsidRPr="003048A8" w:rsidRDefault="00EF4BBB" w:rsidP="00010F7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tbl>
            <w:tblPr>
              <w:tblW w:w="8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5E0" w:firstRow="1" w:lastRow="1" w:firstColumn="1" w:lastColumn="1" w:noHBand="0" w:noVBand="1"/>
            </w:tblPr>
            <w:tblGrid>
              <w:gridCol w:w="3898"/>
              <w:gridCol w:w="4962"/>
            </w:tblGrid>
            <w:tr w:rsidR="003048A8" w:rsidRPr="003048A8" w14:paraId="38E16470" w14:textId="77777777" w:rsidTr="000D29B9">
              <w:trPr>
                <w:tblHeader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141AE" w14:textId="200B0AC8" w:rsidR="00A14956" w:rsidRPr="003048A8" w:rsidRDefault="00A62EE4" w:rsidP="00010F76">
                  <w:pPr>
                    <w:pStyle w:val="TableheadingrowsAgency"/>
                    <w:spacing w:after="0"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val="pl-PL"/>
                    </w:rPr>
                  </w:pPr>
                  <w:r w:rsidRPr="003048A8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pl-PL"/>
                    </w:rPr>
                    <w:t xml:space="preserve">Podsumowanie </w:t>
                  </w:r>
                  <w:r w:rsidR="008F09E3" w:rsidRPr="003048A8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pl-PL"/>
                    </w:rPr>
                    <w:t>istotnych zagrożeń i brakujących informacji</w:t>
                  </w:r>
                </w:p>
              </w:tc>
            </w:tr>
            <w:tr w:rsidR="003048A8" w:rsidRPr="003048A8" w14:paraId="1380D011" w14:textId="77777777" w:rsidTr="000D29B9">
              <w:tc>
                <w:tcPr>
                  <w:tcW w:w="22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D6E751" w14:textId="77777777" w:rsidR="00A14956" w:rsidRPr="003048A8" w:rsidRDefault="008F09E3" w:rsidP="003A55BF">
                  <w:pPr>
                    <w:pStyle w:val="TabletextrowsAgency"/>
                    <w:spacing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eastAsia="en-GB"/>
                    </w:rPr>
                  </w:pP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Istotne</w:t>
                  </w:r>
                  <w:proofErr w:type="spellEnd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zidentyfikowane</w:t>
                  </w:r>
                  <w:proofErr w:type="spellEnd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ryzyka</w:t>
                  </w:r>
                  <w:proofErr w:type="spellEnd"/>
                </w:p>
              </w:tc>
              <w:tc>
                <w:tcPr>
                  <w:tcW w:w="28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0474E4F9" w14:textId="77777777" w:rsidR="00213793" w:rsidRPr="003048A8" w:rsidRDefault="00C90FC8" w:rsidP="00C90FC8">
                  <w:pPr>
                    <w:pStyle w:val="TabletextrowsAgency"/>
                    <w:numPr>
                      <w:ilvl w:val="0"/>
                      <w:numId w:val="13"/>
                    </w:numPr>
                    <w:spacing w:before="120" w:line="240" w:lineRule="auto"/>
                    <w:ind w:left="885" w:hanging="567"/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GB"/>
                    </w:rPr>
                  </w:pP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GB"/>
                    </w:rPr>
                    <w:t>Zwiększone</w:t>
                  </w:r>
                  <w:proofErr w:type="spellEnd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GB"/>
                    </w:rPr>
                    <w:t xml:space="preserve"> </w:t>
                  </w: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GB"/>
                    </w:rPr>
                    <w:t>ryzyko</w:t>
                  </w:r>
                  <w:proofErr w:type="spellEnd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GB"/>
                    </w:rPr>
                    <w:t xml:space="preserve"> </w:t>
                  </w: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GB"/>
                    </w:rPr>
                    <w:t>krwawienia</w:t>
                  </w:r>
                  <w:proofErr w:type="spellEnd"/>
                </w:p>
              </w:tc>
            </w:tr>
            <w:tr w:rsidR="003048A8" w:rsidRPr="003048A8" w14:paraId="341445FB" w14:textId="77777777" w:rsidTr="000D29B9">
              <w:tc>
                <w:tcPr>
                  <w:tcW w:w="2200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BAEB13" w14:textId="77777777" w:rsidR="00A14956" w:rsidRPr="003048A8" w:rsidRDefault="007461E7" w:rsidP="007461E7">
                  <w:pPr>
                    <w:pStyle w:val="TabletextrowsAgency"/>
                    <w:spacing w:before="120" w:after="120" w:line="240" w:lineRule="auto"/>
                    <w:rPr>
                      <w:rFonts w:ascii="Times New Roman" w:hAnsi="Times New Roman" w:cs="Times New Roman"/>
                      <w:sz w:val="22"/>
                      <w:szCs w:val="22"/>
                      <w:lang w:eastAsia="en-GB"/>
                    </w:rPr>
                  </w:pP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Istotne</w:t>
                  </w:r>
                  <w:proofErr w:type="spellEnd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p</w:t>
                  </w:r>
                  <w:r w:rsidR="000D29B9"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otencjalne</w:t>
                  </w:r>
                  <w:proofErr w:type="spellEnd"/>
                  <w:r w:rsidR="000D29B9"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D29B9"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ryzyka</w:t>
                  </w:r>
                  <w:proofErr w:type="spellEnd"/>
                </w:p>
              </w:tc>
              <w:tc>
                <w:tcPr>
                  <w:tcW w:w="28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0D91C01" w14:textId="77777777" w:rsidR="00213793" w:rsidRPr="003048A8" w:rsidRDefault="00ED1471" w:rsidP="0007596F">
                  <w:pPr>
                    <w:pStyle w:val="TabletextrowsAgency"/>
                    <w:numPr>
                      <w:ilvl w:val="0"/>
                      <w:numId w:val="13"/>
                    </w:numPr>
                    <w:spacing w:before="120" w:line="240" w:lineRule="auto"/>
                    <w:ind w:left="885" w:hanging="567"/>
                    <w:rPr>
                      <w:rFonts w:ascii="Times New Roman" w:hAnsi="Times New Roman" w:cs="Times New Roman"/>
                      <w:sz w:val="22"/>
                      <w:szCs w:val="22"/>
                      <w:lang w:eastAsia="en-GB"/>
                    </w:rPr>
                  </w:pP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eastAsia="en-GB"/>
                    </w:rPr>
                    <w:t>Brak</w:t>
                  </w:r>
                  <w:proofErr w:type="spellEnd"/>
                </w:p>
              </w:tc>
            </w:tr>
            <w:tr w:rsidR="003048A8" w:rsidRPr="003048A8" w14:paraId="6A827E5D" w14:textId="77777777" w:rsidTr="000D29B9">
              <w:tc>
                <w:tcPr>
                  <w:tcW w:w="2200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8CD6C14" w14:textId="77777777" w:rsidR="000D29B9" w:rsidRPr="003048A8" w:rsidRDefault="000D29B9" w:rsidP="003A55BF">
                  <w:pPr>
                    <w:pStyle w:val="TabletextrowsAgency"/>
                    <w:spacing w:before="120" w:after="120" w:line="240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Brakujące</w:t>
                  </w:r>
                  <w:proofErr w:type="spellEnd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</w:rPr>
                    <w:t>informacje</w:t>
                  </w:r>
                  <w:proofErr w:type="spellEnd"/>
                </w:p>
              </w:tc>
              <w:tc>
                <w:tcPr>
                  <w:tcW w:w="2800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7F017" w14:textId="77777777" w:rsidR="000D29B9" w:rsidRPr="003048A8" w:rsidRDefault="00C90FC8" w:rsidP="007F16C8">
                  <w:pPr>
                    <w:pStyle w:val="TabletextrowsAgency"/>
                    <w:numPr>
                      <w:ilvl w:val="0"/>
                      <w:numId w:val="13"/>
                    </w:numPr>
                    <w:spacing w:before="120" w:line="240" w:lineRule="auto"/>
                    <w:ind w:left="885" w:hanging="567"/>
                    <w:rPr>
                      <w:rFonts w:ascii="Times New Roman" w:hAnsi="Times New Roman" w:cs="Times New Roman"/>
                      <w:sz w:val="22"/>
                      <w:szCs w:val="22"/>
                      <w:lang w:val="pl-PL" w:eastAsia="en-GB"/>
                    </w:rPr>
                  </w:pPr>
                  <w:r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pl-PL" w:eastAsia="en-GB"/>
                    </w:rPr>
                    <w:t>Dłu</w:t>
                  </w:r>
                  <w:r w:rsidR="007F16C8" w:rsidRPr="003048A8">
                    <w:rPr>
                      <w:rFonts w:ascii="Times New Roman" w:hAnsi="Times New Roman" w:cs="Times New Roman"/>
                      <w:sz w:val="22"/>
                      <w:szCs w:val="22"/>
                      <w:lang w:val="pl-PL" w:eastAsia="en-GB"/>
                    </w:rPr>
                    <w:t>gotrwałe stosowanie u pacjentów po przebytym udarze niedokrwiennym mózgu</w:t>
                  </w:r>
                </w:p>
              </w:tc>
            </w:tr>
          </w:tbl>
          <w:p w14:paraId="2B36B816" w14:textId="77777777" w:rsidR="00A14956" w:rsidRPr="003048A8" w:rsidRDefault="00A14956" w:rsidP="00010F76">
            <w:pPr>
              <w:pStyle w:val="BodytextAgency"/>
              <w:spacing w:after="0" w:line="240" w:lineRule="auto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  <w:p w14:paraId="6D40F8F5" w14:textId="77777777" w:rsidR="00941ED9" w:rsidRPr="003048A8" w:rsidRDefault="00941ED9" w:rsidP="00010F7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44C374C" w14:textId="77777777" w:rsidR="00DF3F00" w:rsidRPr="003048A8" w:rsidRDefault="00C7761E" w:rsidP="00010F76">
      <w:pPr>
        <w:pStyle w:val="Default"/>
        <w:tabs>
          <w:tab w:val="left" w:pos="567"/>
        </w:tabs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>II.B</w:t>
      </w:r>
      <w:r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="00931F61"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>Podsumowanie informacji o istotnych ryzykach</w:t>
      </w:r>
    </w:p>
    <w:p w14:paraId="1AF21B87" w14:textId="77777777" w:rsidR="00931F61" w:rsidRPr="003048A8" w:rsidRDefault="00931F61" w:rsidP="00010F7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048A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5516D75E" w14:textId="77777777" w:rsidR="00501219" w:rsidRPr="003048A8" w:rsidRDefault="00501219" w:rsidP="002F35BC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3048A8">
        <w:rPr>
          <w:rFonts w:ascii="Times New Roman" w:hAnsi="Times New Roman"/>
          <w:sz w:val="22"/>
          <w:szCs w:val="22"/>
          <w:lang w:val="pl-PL"/>
        </w:rPr>
        <w:t>Informacja dotycząca bezpieczeństwa zawarta w proponowanej informacji o produkcie leczniczym jest zgodna z info</w:t>
      </w:r>
      <w:r w:rsidR="00604E73" w:rsidRPr="003048A8">
        <w:rPr>
          <w:rFonts w:ascii="Times New Roman" w:hAnsi="Times New Roman"/>
          <w:sz w:val="22"/>
          <w:szCs w:val="22"/>
          <w:lang w:val="pl-PL"/>
        </w:rPr>
        <w:t>rmacją dla leku referencyjnego.</w:t>
      </w:r>
    </w:p>
    <w:p w14:paraId="68511C5E" w14:textId="77777777" w:rsidR="00450F92" w:rsidRPr="003048A8" w:rsidRDefault="00450F92" w:rsidP="00010F7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pl-PL"/>
        </w:rPr>
      </w:pPr>
    </w:p>
    <w:p w14:paraId="0ABA3F95" w14:textId="77777777" w:rsidR="00213793" w:rsidRPr="003048A8" w:rsidRDefault="00213793" w:rsidP="00010F7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pl-PL"/>
        </w:rPr>
      </w:pPr>
    </w:p>
    <w:p w14:paraId="2625ED27" w14:textId="77777777" w:rsidR="00931F61" w:rsidRPr="00F6302F" w:rsidRDefault="00C7761E" w:rsidP="00010F76">
      <w:pPr>
        <w:pStyle w:val="Default"/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>II.C</w:t>
      </w:r>
      <w:r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="00931F61" w:rsidRPr="003048A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Plan przewidywanego rozwoju po dopuszczeniu </w:t>
      </w:r>
      <w:r w:rsidR="00931F61" w:rsidRPr="00F6302F">
        <w:rPr>
          <w:rFonts w:ascii="Times New Roman" w:hAnsi="Times New Roman" w:cs="Times New Roman"/>
          <w:b/>
          <w:bCs/>
          <w:sz w:val="28"/>
          <w:szCs w:val="28"/>
        </w:rPr>
        <w:t xml:space="preserve">produktu do obrotu </w:t>
      </w:r>
    </w:p>
    <w:p w14:paraId="1807C996" w14:textId="77777777" w:rsidR="00DF3F00" w:rsidRPr="00F6302F" w:rsidRDefault="00DF3F00" w:rsidP="00010F7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DCD3FDA" w14:textId="77777777" w:rsidR="00931F61" w:rsidRPr="00FA7962" w:rsidRDefault="00931F61" w:rsidP="00010F76">
      <w:pPr>
        <w:pStyle w:val="Default"/>
        <w:tabs>
          <w:tab w:val="left" w:pos="567"/>
        </w:tabs>
        <w:rPr>
          <w:rFonts w:ascii="Times New Roman" w:hAnsi="Times New Roman" w:cs="Times New Roman"/>
          <w:b/>
          <w:bCs/>
        </w:rPr>
      </w:pPr>
      <w:r w:rsidRPr="00FA7962">
        <w:rPr>
          <w:rFonts w:ascii="Times New Roman" w:hAnsi="Times New Roman" w:cs="Times New Roman"/>
          <w:b/>
          <w:bCs/>
        </w:rPr>
        <w:t xml:space="preserve">II.C.1 Badania, których przeprowadzenie stanowi warunek uzyskania pozwolenia na dopuszczenie do obrotu produktu leczniczego </w:t>
      </w:r>
    </w:p>
    <w:p w14:paraId="46178F86" w14:textId="77777777" w:rsidR="00DF3F00" w:rsidRPr="00F6302F" w:rsidRDefault="00DF3F00" w:rsidP="002F35B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0E9CEF1" w14:textId="77777777" w:rsidR="00501219" w:rsidRPr="00F6302F" w:rsidRDefault="00501219" w:rsidP="002F35BC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 xml:space="preserve">Brak badań stanowiących warunek dopuszczenia produktu leczniczego do obrotu lub będących wynikiem specyficznych zobowiązań dotyczących produktu leczniczego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Pr="00F6302F">
        <w:rPr>
          <w:rFonts w:ascii="Times New Roman" w:hAnsi="Times New Roman"/>
          <w:sz w:val="22"/>
          <w:szCs w:val="22"/>
          <w:lang w:val="pl-PL"/>
        </w:rPr>
        <w:t>.</w:t>
      </w:r>
    </w:p>
    <w:p w14:paraId="74B49D0F" w14:textId="77777777" w:rsidR="005D4285" w:rsidRPr="00F6302F" w:rsidRDefault="005D4285" w:rsidP="00010F7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FFA3A6A" w14:textId="77777777" w:rsidR="005D4285" w:rsidRPr="00450F92" w:rsidRDefault="005D4285" w:rsidP="00010F76">
      <w:pPr>
        <w:pStyle w:val="Default"/>
        <w:rPr>
          <w:rFonts w:ascii="Times New Roman" w:hAnsi="Times New Roman" w:cs="Times New Roman"/>
          <w:b/>
          <w:bCs/>
        </w:rPr>
      </w:pPr>
      <w:r w:rsidRPr="00450F92">
        <w:rPr>
          <w:rFonts w:ascii="Times New Roman" w:hAnsi="Times New Roman" w:cs="Times New Roman"/>
          <w:b/>
          <w:bCs/>
        </w:rPr>
        <w:t xml:space="preserve">II.C.2 Inne badania </w:t>
      </w:r>
      <w:proofErr w:type="spellStart"/>
      <w:r w:rsidRPr="00450F92">
        <w:rPr>
          <w:rFonts w:ascii="Times New Roman" w:hAnsi="Times New Roman" w:cs="Times New Roman"/>
          <w:b/>
          <w:bCs/>
        </w:rPr>
        <w:t>porejestracyjne</w:t>
      </w:r>
      <w:proofErr w:type="spellEnd"/>
      <w:r w:rsidRPr="00450F92">
        <w:rPr>
          <w:rFonts w:ascii="Times New Roman" w:hAnsi="Times New Roman" w:cs="Times New Roman"/>
          <w:b/>
          <w:bCs/>
        </w:rPr>
        <w:t xml:space="preserve"> uwzględnione w planie rozwoju produktu leczniczego </w:t>
      </w:r>
    </w:p>
    <w:p w14:paraId="4D9FD8FC" w14:textId="77777777" w:rsidR="005D4285" w:rsidRPr="00F6302F" w:rsidRDefault="005D4285" w:rsidP="002F35B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8542BA5" w14:textId="77777777" w:rsidR="00A14956" w:rsidRPr="00F6302F" w:rsidRDefault="00A14956" w:rsidP="002F35BC">
      <w:pPr>
        <w:pStyle w:val="BodytextAgency"/>
        <w:spacing w:after="0" w:line="24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F6302F">
        <w:rPr>
          <w:rFonts w:ascii="Times New Roman" w:hAnsi="Times New Roman"/>
          <w:sz w:val="22"/>
          <w:szCs w:val="22"/>
          <w:lang w:val="pl-PL"/>
        </w:rPr>
        <w:t xml:space="preserve">Brak badań, których przeprowadzenie jest wymagane w odniesieniu do produktu leczniczego </w:t>
      </w:r>
      <w:r w:rsidR="003D3DE6">
        <w:rPr>
          <w:rFonts w:ascii="Times New Roman" w:hAnsi="Times New Roman"/>
          <w:sz w:val="22"/>
          <w:szCs w:val="22"/>
          <w:lang w:val="pl-PL"/>
        </w:rPr>
        <w:t>TIGRIX</w:t>
      </w:r>
      <w:r w:rsidRPr="00F6302F">
        <w:rPr>
          <w:rFonts w:ascii="Times New Roman" w:hAnsi="Times New Roman"/>
          <w:sz w:val="22"/>
          <w:szCs w:val="22"/>
          <w:lang w:val="pl-PL"/>
        </w:rPr>
        <w:t>.</w:t>
      </w:r>
    </w:p>
    <w:p w14:paraId="201B023B" w14:textId="77777777" w:rsidR="005D4285" w:rsidRPr="00F6302F" w:rsidRDefault="005D4285" w:rsidP="00010F76">
      <w:pPr>
        <w:jc w:val="left"/>
        <w:rPr>
          <w:rFonts w:ascii="Times New Roman" w:hAnsi="Times New Roman" w:cs="Times New Roman"/>
        </w:rPr>
      </w:pPr>
    </w:p>
    <w:sectPr w:rsidR="005D4285" w:rsidRPr="00F6302F" w:rsidSect="00E20B8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1D46"/>
    <w:multiLevelType w:val="hybridMultilevel"/>
    <w:tmpl w:val="5546E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7AE4"/>
    <w:multiLevelType w:val="hybridMultilevel"/>
    <w:tmpl w:val="F6940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5278D"/>
    <w:multiLevelType w:val="hybridMultilevel"/>
    <w:tmpl w:val="2E3E6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2B"/>
    <w:multiLevelType w:val="hybridMultilevel"/>
    <w:tmpl w:val="786C4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0B74"/>
    <w:multiLevelType w:val="hybridMultilevel"/>
    <w:tmpl w:val="88CEEB4C"/>
    <w:lvl w:ilvl="0" w:tplc="031460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D7D95"/>
    <w:multiLevelType w:val="hybridMultilevel"/>
    <w:tmpl w:val="40929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B6CFB"/>
    <w:multiLevelType w:val="hybridMultilevel"/>
    <w:tmpl w:val="42D40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A602D"/>
    <w:multiLevelType w:val="hybridMultilevel"/>
    <w:tmpl w:val="AB22D9A6"/>
    <w:lvl w:ilvl="0" w:tplc="0415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8" w15:restartNumberingAfterBreak="0">
    <w:nsid w:val="5E6629F5"/>
    <w:multiLevelType w:val="hybridMultilevel"/>
    <w:tmpl w:val="FD1E262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B66A36"/>
    <w:multiLevelType w:val="hybridMultilevel"/>
    <w:tmpl w:val="DCBA7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D26BF"/>
    <w:multiLevelType w:val="hybridMultilevel"/>
    <w:tmpl w:val="6EE24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12659"/>
    <w:multiLevelType w:val="hybridMultilevel"/>
    <w:tmpl w:val="F5B61288"/>
    <w:lvl w:ilvl="0" w:tplc="2D741B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D183D"/>
    <w:multiLevelType w:val="hybridMultilevel"/>
    <w:tmpl w:val="13FE430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D528A2"/>
    <w:multiLevelType w:val="hybridMultilevel"/>
    <w:tmpl w:val="6F7A31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0"/>
  </w:num>
  <w:num w:numId="5">
    <w:abstractNumId w:val="4"/>
  </w:num>
  <w:num w:numId="6">
    <w:abstractNumId w:val="8"/>
  </w:num>
  <w:num w:numId="7">
    <w:abstractNumId w:val="13"/>
  </w:num>
  <w:num w:numId="8">
    <w:abstractNumId w:val="12"/>
  </w:num>
  <w:num w:numId="9">
    <w:abstractNumId w:val="1"/>
  </w:num>
  <w:num w:numId="10">
    <w:abstractNumId w:val="2"/>
  </w:num>
  <w:num w:numId="11">
    <w:abstractNumId w:val="5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D9"/>
    <w:rsid w:val="00010F76"/>
    <w:rsid w:val="00066FD9"/>
    <w:rsid w:val="00073223"/>
    <w:rsid w:val="0007596F"/>
    <w:rsid w:val="000C3939"/>
    <w:rsid w:val="000D29B9"/>
    <w:rsid w:val="000E649C"/>
    <w:rsid w:val="001A6F3E"/>
    <w:rsid w:val="001C1AD2"/>
    <w:rsid w:val="001D6D9F"/>
    <w:rsid w:val="001E34D2"/>
    <w:rsid w:val="002013C5"/>
    <w:rsid w:val="00213793"/>
    <w:rsid w:val="002229B4"/>
    <w:rsid w:val="00264E3D"/>
    <w:rsid w:val="002846F2"/>
    <w:rsid w:val="002B1B71"/>
    <w:rsid w:val="002D4BF4"/>
    <w:rsid w:val="002F35BC"/>
    <w:rsid w:val="003048A8"/>
    <w:rsid w:val="00310D25"/>
    <w:rsid w:val="003301F4"/>
    <w:rsid w:val="00333A68"/>
    <w:rsid w:val="00347B28"/>
    <w:rsid w:val="00371404"/>
    <w:rsid w:val="0038458F"/>
    <w:rsid w:val="00392CF3"/>
    <w:rsid w:val="003A55BF"/>
    <w:rsid w:val="003D3281"/>
    <w:rsid w:val="003D3DE6"/>
    <w:rsid w:val="00421934"/>
    <w:rsid w:val="0043703D"/>
    <w:rsid w:val="00444FAD"/>
    <w:rsid w:val="00450F92"/>
    <w:rsid w:val="00462328"/>
    <w:rsid w:val="004670D5"/>
    <w:rsid w:val="004A727A"/>
    <w:rsid w:val="004D2C7B"/>
    <w:rsid w:val="004F7F2B"/>
    <w:rsid w:val="00501219"/>
    <w:rsid w:val="00520014"/>
    <w:rsid w:val="00560386"/>
    <w:rsid w:val="005D4285"/>
    <w:rsid w:val="005F0450"/>
    <w:rsid w:val="00604E73"/>
    <w:rsid w:val="006476E1"/>
    <w:rsid w:val="00647F74"/>
    <w:rsid w:val="006506F9"/>
    <w:rsid w:val="006705B9"/>
    <w:rsid w:val="0068644D"/>
    <w:rsid w:val="00687C7B"/>
    <w:rsid w:val="00697504"/>
    <w:rsid w:val="006A473A"/>
    <w:rsid w:val="006B09FB"/>
    <w:rsid w:val="007214A9"/>
    <w:rsid w:val="00724BF4"/>
    <w:rsid w:val="007461E7"/>
    <w:rsid w:val="00757038"/>
    <w:rsid w:val="00761368"/>
    <w:rsid w:val="007B5CAC"/>
    <w:rsid w:val="007E396C"/>
    <w:rsid w:val="007F16C8"/>
    <w:rsid w:val="007F1B4C"/>
    <w:rsid w:val="0080552A"/>
    <w:rsid w:val="00851B2A"/>
    <w:rsid w:val="00866CC1"/>
    <w:rsid w:val="00870A86"/>
    <w:rsid w:val="008844B2"/>
    <w:rsid w:val="008B393E"/>
    <w:rsid w:val="008D670E"/>
    <w:rsid w:val="008D7827"/>
    <w:rsid w:val="008F09E3"/>
    <w:rsid w:val="009134F5"/>
    <w:rsid w:val="00931F61"/>
    <w:rsid w:val="00941ED9"/>
    <w:rsid w:val="0094774C"/>
    <w:rsid w:val="00952D8B"/>
    <w:rsid w:val="009623EB"/>
    <w:rsid w:val="009870D4"/>
    <w:rsid w:val="009C3EA3"/>
    <w:rsid w:val="00A14956"/>
    <w:rsid w:val="00A211BA"/>
    <w:rsid w:val="00A267B1"/>
    <w:rsid w:val="00A56421"/>
    <w:rsid w:val="00A62EE4"/>
    <w:rsid w:val="00A956DC"/>
    <w:rsid w:val="00AB546D"/>
    <w:rsid w:val="00AE14BF"/>
    <w:rsid w:val="00AE6BBA"/>
    <w:rsid w:val="00B06089"/>
    <w:rsid w:val="00B16B0F"/>
    <w:rsid w:val="00B43400"/>
    <w:rsid w:val="00B96450"/>
    <w:rsid w:val="00BD4B3D"/>
    <w:rsid w:val="00BE668A"/>
    <w:rsid w:val="00C01776"/>
    <w:rsid w:val="00C033A1"/>
    <w:rsid w:val="00C25AC3"/>
    <w:rsid w:val="00C522FB"/>
    <w:rsid w:val="00C7761E"/>
    <w:rsid w:val="00C81684"/>
    <w:rsid w:val="00C90FC8"/>
    <w:rsid w:val="00C96AD0"/>
    <w:rsid w:val="00CB6BD1"/>
    <w:rsid w:val="00CC458F"/>
    <w:rsid w:val="00CE6F4D"/>
    <w:rsid w:val="00CF4BB9"/>
    <w:rsid w:val="00D036D5"/>
    <w:rsid w:val="00D11684"/>
    <w:rsid w:val="00D40525"/>
    <w:rsid w:val="00D4402E"/>
    <w:rsid w:val="00D72527"/>
    <w:rsid w:val="00D77364"/>
    <w:rsid w:val="00D82CC0"/>
    <w:rsid w:val="00D904DB"/>
    <w:rsid w:val="00D9641A"/>
    <w:rsid w:val="00DF3F00"/>
    <w:rsid w:val="00E07156"/>
    <w:rsid w:val="00E1119C"/>
    <w:rsid w:val="00E144AA"/>
    <w:rsid w:val="00E14DAB"/>
    <w:rsid w:val="00E20B8A"/>
    <w:rsid w:val="00E20CF5"/>
    <w:rsid w:val="00E32C8E"/>
    <w:rsid w:val="00E83061"/>
    <w:rsid w:val="00E91AFB"/>
    <w:rsid w:val="00EB79BB"/>
    <w:rsid w:val="00ED1471"/>
    <w:rsid w:val="00EE65B4"/>
    <w:rsid w:val="00EF4BBB"/>
    <w:rsid w:val="00F17775"/>
    <w:rsid w:val="00F40AA5"/>
    <w:rsid w:val="00F44C2C"/>
    <w:rsid w:val="00F6302F"/>
    <w:rsid w:val="00FA7962"/>
    <w:rsid w:val="00F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B876"/>
  <w15:docId w15:val="{0D6FF908-B745-4A31-A294-88514BD2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AB"/>
    <w:pPr>
      <w:spacing w:after="0" w:line="240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1E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E14DAB"/>
    <w:pPr>
      <w:ind w:left="720"/>
      <w:contextualSpacing/>
    </w:pPr>
  </w:style>
  <w:style w:type="table" w:styleId="TableGrid">
    <w:name w:val="Table Grid"/>
    <w:basedOn w:val="TableNormal"/>
    <w:uiPriority w:val="59"/>
    <w:rsid w:val="00D82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C3EA3"/>
    <w:pPr>
      <w:spacing w:after="140" w:line="280" w:lineRule="atLeast"/>
      <w:jc w:val="left"/>
    </w:pPr>
    <w:rPr>
      <w:rFonts w:ascii="Verdana" w:eastAsia="Verdana" w:hAnsi="Verdana" w:cs="Times New Roman"/>
      <w:sz w:val="18"/>
      <w:szCs w:val="18"/>
      <w:lang w:val="x-none" w:eastAsia="x-none"/>
    </w:rPr>
  </w:style>
  <w:style w:type="character" w:customStyle="1" w:styleId="BodytextAgencyChar">
    <w:name w:val="Body text (Agency) Char"/>
    <w:link w:val="BodytextAgency"/>
    <w:locked/>
    <w:rsid w:val="009C3EA3"/>
    <w:rPr>
      <w:rFonts w:ascii="Verdana" w:eastAsia="Verdana" w:hAnsi="Verdana" w:cs="Times New Roman"/>
      <w:sz w:val="18"/>
      <w:szCs w:val="18"/>
      <w:lang w:val="x-none" w:eastAsia="x-none"/>
    </w:rPr>
  </w:style>
  <w:style w:type="paragraph" w:customStyle="1" w:styleId="TableheadingrowsAgency">
    <w:name w:val="Table heading rows (Agency)"/>
    <w:basedOn w:val="BodytextAgency"/>
    <w:semiHidden/>
    <w:rsid w:val="00A14956"/>
    <w:pPr>
      <w:keepNext/>
    </w:pPr>
    <w:rPr>
      <w:rFonts w:eastAsia="Times New Roman" w:cs="Verdana"/>
      <w:b/>
      <w:lang w:val="en-GB" w:eastAsia="en-GB"/>
    </w:rPr>
  </w:style>
  <w:style w:type="paragraph" w:customStyle="1" w:styleId="TabletextrowsAgency">
    <w:name w:val="Table text rows (Agency)"/>
    <w:basedOn w:val="Normal"/>
    <w:link w:val="TabletextrowsAgencyChar"/>
    <w:qFormat/>
    <w:rsid w:val="00A14956"/>
    <w:pPr>
      <w:spacing w:line="280" w:lineRule="exact"/>
      <w:jc w:val="left"/>
    </w:pPr>
    <w:rPr>
      <w:rFonts w:ascii="Verdana" w:eastAsia="Times New Roman" w:hAnsi="Verdana" w:cs="Verdana"/>
      <w:sz w:val="18"/>
      <w:szCs w:val="18"/>
      <w:lang w:val="en-GB" w:eastAsia="zh-CN"/>
    </w:rPr>
  </w:style>
  <w:style w:type="character" w:customStyle="1" w:styleId="TabletextrowsAgencyChar">
    <w:name w:val="Table text rows (Agency) Char"/>
    <w:link w:val="TabletextrowsAgency"/>
    <w:locked/>
    <w:rsid w:val="00A14956"/>
    <w:rPr>
      <w:rFonts w:ascii="Verdana" w:eastAsia="Times New Roman" w:hAnsi="Verdana" w:cs="Verdana"/>
      <w:sz w:val="18"/>
      <w:szCs w:val="18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CB6BD1"/>
    <w:pPr>
      <w:widowControl w:val="0"/>
      <w:ind w:left="118"/>
      <w:jc w:val="left"/>
    </w:pPr>
    <w:rPr>
      <w:rFonts w:ascii="Times New Roman" w:eastAsia="Times New Roman" w:hAnsi="Times New Roman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CB6BD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52334CFFE704F8557C10A6CD5971D" ma:contentTypeVersion="10" ma:contentTypeDescription="Create a new document." ma:contentTypeScope="" ma:versionID="103ddb55cdc7ccbaa341c4deaf33fad8">
  <xsd:schema xmlns:xsd="http://www.w3.org/2001/XMLSchema" xmlns:xs="http://www.w3.org/2001/XMLSchema" xmlns:p="http://schemas.microsoft.com/office/2006/metadata/properties" xmlns:ns2="8588ad00-f050-4b53-86d5-7dbadff18098" targetNamespace="http://schemas.microsoft.com/office/2006/metadata/properties" ma:root="true" ma:fieldsID="650fd6de44b7fb0c54968c057fef1a53" ns2:_="">
    <xsd:import namespace="8588ad00-f050-4b53-86d5-7dbadff18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8ad00-f050-4b53-86d5-7dbadff18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73B43-AD28-4965-B455-72010AF3E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1D3BF5-B7AA-469E-BD77-72BC28C24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CDA47-94F3-416D-9572-AFCF2554A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PDHR</dc:creator>
  <cp:lastModifiedBy>Wozniak.Malgorzata</cp:lastModifiedBy>
  <cp:revision>3</cp:revision>
  <dcterms:created xsi:type="dcterms:W3CDTF">2021-06-23T14:04:00Z</dcterms:created>
  <dcterms:modified xsi:type="dcterms:W3CDTF">2021-08-24T14:15:00Z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0x01010002052334CFFE704F8557C10A6CD5971D</vt:lpwstr>
  </property>
</Properties>
</file>